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7F0" w:rsidRDefault="008017F0">
      <w:pPr>
        <w:pStyle w:val="Ttulo"/>
        <w:rPr>
          <w:b/>
          <w:u w:val="single"/>
        </w:rPr>
      </w:pPr>
      <w:r>
        <w:rPr>
          <w:b/>
          <w:u w:val="single"/>
        </w:rPr>
        <w:t>CUERPO CENTRAL</w:t>
      </w:r>
    </w:p>
    <w:p w:rsidR="008017F0" w:rsidRDefault="008017F0">
      <w:pPr>
        <w:pStyle w:val="Ttulo"/>
        <w:rPr>
          <w:b/>
          <w:u w:val="single"/>
        </w:rPr>
      </w:pPr>
    </w:p>
    <w:p w:rsidR="008017F0" w:rsidRDefault="008017F0">
      <w:pPr>
        <w:pStyle w:val="Ttulo2"/>
      </w:pPr>
      <w:r>
        <w:t>FUNGICIDA TERAPICO PARA EL TRATAMIENTO DE SEMILLAS</w:t>
      </w:r>
    </w:p>
    <w:p w:rsidR="008017F0" w:rsidRPr="0087036E" w:rsidRDefault="00CF2AEC" w:rsidP="002942F4">
      <w:pPr>
        <w:jc w:val="center"/>
        <w:rPr>
          <w:rFonts w:ascii="Arial" w:hAnsi="Arial"/>
          <w:sz w:val="24"/>
        </w:rPr>
      </w:pPr>
      <w:r w:rsidRPr="0087036E">
        <w:rPr>
          <w:rFonts w:ascii="Arial" w:hAnsi="Arial"/>
          <w:sz w:val="24"/>
        </w:rPr>
        <w:t xml:space="preserve">GRUPO </w:t>
      </w:r>
      <w:r w:rsidR="0087036E" w:rsidRPr="0087036E">
        <w:rPr>
          <w:rFonts w:ascii="Arial" w:hAnsi="Arial"/>
          <w:sz w:val="24"/>
        </w:rPr>
        <w:t>M3</w:t>
      </w:r>
    </w:p>
    <w:p w:rsidR="0087036E" w:rsidRDefault="0087036E" w:rsidP="002942F4">
      <w:pPr>
        <w:jc w:val="center"/>
        <w:rPr>
          <w:rFonts w:ascii="Arial" w:hAnsi="Arial"/>
          <w:sz w:val="24"/>
        </w:rPr>
      </w:pPr>
      <w:r w:rsidRPr="0087036E">
        <w:rPr>
          <w:rFonts w:ascii="Arial" w:hAnsi="Arial"/>
          <w:sz w:val="24"/>
        </w:rPr>
        <w:t>GRUPO 1</w:t>
      </w:r>
    </w:p>
    <w:p w:rsidR="002942F4" w:rsidRDefault="002942F4" w:rsidP="002942F4">
      <w:pPr>
        <w:jc w:val="center"/>
        <w:rPr>
          <w:rFonts w:ascii="Arial" w:hAnsi="Arial"/>
          <w:sz w:val="24"/>
        </w:rPr>
      </w:pPr>
    </w:p>
    <w:p w:rsidR="008017F0" w:rsidRPr="00677AE2" w:rsidRDefault="005607F7">
      <w:pPr>
        <w:pStyle w:val="Ttulo4"/>
        <w:rPr>
          <w:lang w:val="es-ES"/>
        </w:rPr>
      </w:pPr>
      <w:r>
        <w:t>CARB TH</w:t>
      </w:r>
    </w:p>
    <w:p w:rsidR="008017F0" w:rsidRDefault="008017F0" w:rsidP="00677AE2">
      <w:pPr>
        <w:jc w:val="center"/>
        <w:rPr>
          <w:rFonts w:ascii="Arial" w:hAnsi="Arial"/>
          <w:sz w:val="24"/>
        </w:rPr>
      </w:pPr>
      <w:r>
        <w:rPr>
          <w:rFonts w:ascii="Arial" w:hAnsi="Arial"/>
          <w:sz w:val="24"/>
        </w:rPr>
        <w:t xml:space="preserve">Suspensión  </w:t>
      </w:r>
      <w:r w:rsidR="00677AE2">
        <w:rPr>
          <w:rFonts w:ascii="Arial" w:hAnsi="Arial"/>
          <w:sz w:val="24"/>
        </w:rPr>
        <w:t>concentrada para Tratamiento de Semillas</w:t>
      </w:r>
    </w:p>
    <w:p w:rsidR="008017F0" w:rsidRDefault="008017F0">
      <w:pPr>
        <w:rPr>
          <w:rFonts w:ascii="Arial" w:hAnsi="Arial"/>
          <w:sz w:val="24"/>
        </w:rPr>
      </w:pPr>
    </w:p>
    <w:p w:rsidR="008017F0" w:rsidRDefault="008017F0">
      <w:pPr>
        <w:rPr>
          <w:rFonts w:ascii="Arial" w:hAnsi="Arial"/>
          <w:sz w:val="24"/>
        </w:rPr>
      </w:pPr>
      <w:r>
        <w:rPr>
          <w:rFonts w:ascii="Arial" w:hAnsi="Arial"/>
          <w:sz w:val="24"/>
        </w:rPr>
        <w:t>COMPOSICIÓN:</w:t>
      </w:r>
    </w:p>
    <w:p w:rsidR="008017F0" w:rsidRDefault="008017F0">
      <w:pPr>
        <w:rPr>
          <w:rFonts w:ascii="Arial" w:hAnsi="Arial"/>
          <w:sz w:val="24"/>
        </w:rPr>
      </w:pPr>
    </w:p>
    <w:p w:rsidR="008017F0" w:rsidRDefault="008017F0">
      <w:pPr>
        <w:pBdr>
          <w:top w:val="single" w:sz="4" w:space="1" w:color="auto"/>
          <w:left w:val="single" w:sz="4" w:space="4" w:color="auto"/>
          <w:bottom w:val="single" w:sz="4" w:space="1" w:color="auto"/>
          <w:right w:val="single" w:sz="4" w:space="4" w:color="auto"/>
        </w:pBdr>
        <w:rPr>
          <w:rFonts w:ascii="Arial" w:hAnsi="Arial"/>
          <w:sz w:val="24"/>
        </w:rPr>
      </w:pPr>
      <w:r>
        <w:rPr>
          <w:rFonts w:ascii="Arial" w:hAnsi="Arial"/>
          <w:sz w:val="24"/>
        </w:rPr>
        <w:t>thiram:  Bisulfuro de Tetrametiltiocarbamilo….......................................….10 gr</w:t>
      </w:r>
    </w:p>
    <w:p w:rsidR="008017F0" w:rsidRDefault="008017F0">
      <w:pPr>
        <w:pBdr>
          <w:top w:val="single" w:sz="4" w:space="1" w:color="auto"/>
          <w:left w:val="single" w:sz="4" w:space="4" w:color="auto"/>
          <w:bottom w:val="single" w:sz="4" w:space="1" w:color="auto"/>
          <w:right w:val="single" w:sz="4" w:space="4" w:color="auto"/>
        </w:pBdr>
        <w:rPr>
          <w:rFonts w:ascii="Arial" w:hAnsi="Arial"/>
          <w:sz w:val="24"/>
        </w:rPr>
      </w:pPr>
      <w:r>
        <w:rPr>
          <w:rFonts w:ascii="Arial" w:hAnsi="Arial"/>
          <w:sz w:val="24"/>
        </w:rPr>
        <w:t>carbendazim: 2 Metoxicarbamoil-Bencimidazol.....................…….......…...10gr</w:t>
      </w:r>
    </w:p>
    <w:p w:rsidR="008017F0" w:rsidRDefault="008017F0">
      <w:pPr>
        <w:pBdr>
          <w:top w:val="single" w:sz="4" w:space="1" w:color="auto"/>
          <w:left w:val="single" w:sz="4" w:space="4" w:color="auto"/>
          <w:bottom w:val="single" w:sz="4" w:space="1" w:color="auto"/>
          <w:right w:val="single" w:sz="4" w:space="4" w:color="auto"/>
        </w:pBdr>
        <w:rPr>
          <w:rFonts w:ascii="Arial" w:hAnsi="Arial"/>
          <w:sz w:val="24"/>
        </w:rPr>
      </w:pPr>
      <w:r>
        <w:rPr>
          <w:rFonts w:ascii="Arial" w:hAnsi="Arial"/>
          <w:sz w:val="24"/>
        </w:rPr>
        <w:t>inertes dispersante, humectante,colorante c.s.p................................……100cm</w:t>
      </w:r>
      <w:r>
        <w:rPr>
          <w:rFonts w:ascii="Arial" w:hAnsi="Arial"/>
          <w:sz w:val="24"/>
          <w:vertAlign w:val="superscript"/>
        </w:rPr>
        <w:t>3</w:t>
      </w:r>
    </w:p>
    <w:p w:rsidR="008017F0" w:rsidRDefault="008017F0">
      <w:pPr>
        <w:rPr>
          <w:rFonts w:ascii="Arial" w:hAnsi="Arial"/>
          <w:sz w:val="24"/>
        </w:rPr>
      </w:pPr>
      <w:r>
        <w:rPr>
          <w:rFonts w:ascii="Arial" w:hAnsi="Arial"/>
          <w:sz w:val="24"/>
        </w:rPr>
        <w:t xml:space="preserve">               </w:t>
      </w:r>
    </w:p>
    <w:p w:rsidR="008017F0" w:rsidRDefault="008017F0">
      <w:pPr>
        <w:rPr>
          <w:rFonts w:ascii="Arial" w:hAnsi="Arial"/>
          <w:b/>
          <w:sz w:val="24"/>
        </w:rPr>
      </w:pPr>
      <w:r>
        <w:rPr>
          <w:rFonts w:ascii="Arial" w:hAnsi="Arial"/>
          <w:b/>
          <w:sz w:val="24"/>
        </w:rPr>
        <w:t>“LEA INTEGRAMENTE ESTA ETIQUETA ANTES DE UTILIZAR EL PRODUCTO”</w:t>
      </w:r>
    </w:p>
    <w:p w:rsidR="008017F0" w:rsidRDefault="008017F0" w:rsidP="00C87EEA">
      <w:pPr>
        <w:tabs>
          <w:tab w:val="left" w:pos="-720"/>
        </w:tabs>
        <w:suppressAutoHyphens/>
        <w:spacing w:line="264" w:lineRule="auto"/>
        <w:jc w:val="center"/>
        <w:rPr>
          <w:rFonts w:ascii="Arial" w:hAnsi="Arial"/>
          <w:spacing w:val="-3"/>
          <w:sz w:val="24"/>
        </w:rPr>
      </w:pPr>
      <w:r>
        <w:rPr>
          <w:rFonts w:ascii="Arial" w:hAnsi="Arial"/>
          <w:spacing w:val="-3"/>
          <w:sz w:val="24"/>
        </w:rPr>
        <w:t xml:space="preserve">SENASA  Nº: </w:t>
      </w:r>
      <w:r w:rsidR="00100097">
        <w:rPr>
          <w:rFonts w:ascii="Arial" w:hAnsi="Arial"/>
          <w:spacing w:val="-3"/>
          <w:sz w:val="24"/>
        </w:rPr>
        <w:t>38.625</w:t>
      </w:r>
    </w:p>
    <w:p w:rsidR="008017F0" w:rsidRDefault="008017F0">
      <w:pPr>
        <w:rPr>
          <w:rFonts w:ascii="Arial" w:hAnsi="Arial"/>
          <w:sz w:val="24"/>
        </w:rPr>
      </w:pPr>
    </w:p>
    <w:p w:rsidR="008017F0" w:rsidRDefault="008017F0">
      <w:pPr>
        <w:rPr>
          <w:rFonts w:ascii="Arial" w:hAnsi="Arial"/>
          <w:sz w:val="24"/>
        </w:rPr>
      </w:pPr>
      <w:r>
        <w:rPr>
          <w:rFonts w:ascii="Arial" w:hAnsi="Arial"/>
          <w:sz w:val="24"/>
        </w:rPr>
        <w:t>AGITESE BIEN ANTES DE USAR</w:t>
      </w:r>
    </w:p>
    <w:p w:rsidR="008017F0" w:rsidRDefault="008017F0">
      <w:pPr>
        <w:rPr>
          <w:rFonts w:ascii="Arial" w:hAnsi="Arial"/>
          <w:sz w:val="24"/>
        </w:rPr>
      </w:pPr>
    </w:p>
    <w:p w:rsidR="008017F0" w:rsidRDefault="008017F0">
      <w:pPr>
        <w:rPr>
          <w:rFonts w:ascii="Arial" w:hAnsi="Arial"/>
          <w:sz w:val="24"/>
        </w:rPr>
      </w:pPr>
      <w:r>
        <w:rPr>
          <w:rFonts w:ascii="Arial" w:hAnsi="Arial"/>
          <w:sz w:val="24"/>
        </w:rPr>
        <w:t>Nº de lote</w:t>
      </w:r>
    </w:p>
    <w:p w:rsidR="008017F0" w:rsidRDefault="008017F0">
      <w:pPr>
        <w:rPr>
          <w:rFonts w:ascii="Arial" w:hAnsi="Arial"/>
          <w:sz w:val="24"/>
        </w:rPr>
      </w:pPr>
      <w:r>
        <w:rPr>
          <w:rFonts w:ascii="Arial" w:hAnsi="Arial"/>
          <w:sz w:val="24"/>
        </w:rPr>
        <w:t xml:space="preserve">No inflamable                                                 </w:t>
      </w:r>
      <w:r>
        <w:rPr>
          <w:rFonts w:ascii="Arial" w:hAnsi="Arial"/>
          <w:sz w:val="24"/>
        </w:rPr>
        <w:tab/>
        <w:t xml:space="preserve">    Industria Argentina</w:t>
      </w:r>
    </w:p>
    <w:p w:rsidR="008017F0" w:rsidRDefault="008017F0">
      <w:pPr>
        <w:rPr>
          <w:rFonts w:ascii="Arial" w:hAnsi="Arial"/>
          <w:sz w:val="24"/>
        </w:rPr>
      </w:pPr>
      <w:r>
        <w:rPr>
          <w:rFonts w:ascii="Arial" w:hAnsi="Arial"/>
          <w:sz w:val="24"/>
        </w:rPr>
        <w:t>Contenido Neto:                                                  Fecha de Vencimiento:</w:t>
      </w:r>
    </w:p>
    <w:p w:rsidR="008017F0" w:rsidRDefault="008017F0">
      <w:pPr>
        <w:rPr>
          <w:rFonts w:ascii="Arial" w:hAnsi="Arial"/>
          <w:sz w:val="24"/>
        </w:rPr>
      </w:pPr>
    </w:p>
    <w:p w:rsidR="00D43150" w:rsidRPr="009E512D" w:rsidRDefault="00D43150" w:rsidP="00D43150">
      <w:pPr>
        <w:pStyle w:val="Sangradetextonormal"/>
        <w:ind w:right="1467"/>
        <w:rPr>
          <w:rFonts w:ascii="Arial" w:hAnsi="Arial" w:cs="Arial"/>
        </w:rPr>
      </w:pPr>
      <w:r w:rsidRPr="009E512D">
        <w:rPr>
          <w:rFonts w:ascii="Arial" w:hAnsi="Arial" w:cs="Arial"/>
        </w:rPr>
        <w:t xml:space="preserve">Registrado y producido por: PRODINSA ARGENTINA S.A.             </w:t>
      </w:r>
    </w:p>
    <w:p w:rsidR="00D43150" w:rsidRPr="009E512D" w:rsidRDefault="00D43150" w:rsidP="00D43150">
      <w:pPr>
        <w:tabs>
          <w:tab w:val="left" w:pos="4678"/>
        </w:tabs>
        <w:ind w:right="1467"/>
        <w:jc w:val="both"/>
        <w:rPr>
          <w:rFonts w:ascii="Arial" w:hAnsi="Arial"/>
        </w:rPr>
      </w:pPr>
      <w:r w:rsidRPr="009E512D">
        <w:rPr>
          <w:rFonts w:ascii="Arial" w:hAnsi="Arial"/>
        </w:rPr>
        <w:t xml:space="preserve">Ruta AO 12 y Ruta Prov. 14, Piñero, Prov. de Santa Fe, Argentina  </w:t>
      </w:r>
    </w:p>
    <w:p w:rsidR="00D43150" w:rsidRDefault="00D43150" w:rsidP="00D43150">
      <w:pPr>
        <w:tabs>
          <w:tab w:val="left" w:pos="4678"/>
        </w:tabs>
        <w:ind w:right="1467"/>
        <w:jc w:val="both"/>
        <w:rPr>
          <w:rFonts w:ascii="Arial" w:hAnsi="Arial"/>
        </w:rPr>
      </w:pPr>
      <w:r w:rsidRPr="009E512D">
        <w:rPr>
          <w:rFonts w:ascii="Arial" w:hAnsi="Arial"/>
        </w:rPr>
        <w:t>E- mail: info@prodinsa.com.ar – www. prodinsa.com.ar</w:t>
      </w:r>
    </w:p>
    <w:p w:rsidR="008017F0" w:rsidRDefault="008017F0">
      <w:pPr>
        <w:rPr>
          <w:rFonts w:ascii="Arial" w:hAnsi="Arial"/>
          <w:sz w:val="24"/>
          <w:lang w:val="es-ES_tradnl"/>
        </w:rPr>
      </w:pPr>
    </w:p>
    <w:p w:rsidR="00D43150" w:rsidRDefault="00D43150">
      <w:pPr>
        <w:rPr>
          <w:rFonts w:ascii="Arial" w:hAnsi="Arial"/>
          <w:sz w:val="24"/>
          <w:lang w:val="es-ES_tradnl"/>
        </w:rPr>
      </w:pPr>
    </w:p>
    <w:p w:rsidR="008017F0" w:rsidRDefault="008017F0">
      <w:pPr>
        <w:pStyle w:val="Ttulo3"/>
      </w:pPr>
      <w:r>
        <w:t>CUERPO DERECHO</w:t>
      </w:r>
    </w:p>
    <w:p w:rsidR="008017F0" w:rsidRDefault="008017F0">
      <w:pPr>
        <w:jc w:val="center"/>
        <w:rPr>
          <w:rFonts w:ascii="Arial" w:hAnsi="Arial"/>
          <w:b/>
          <w:sz w:val="24"/>
          <w:u w:val="single"/>
        </w:rPr>
      </w:pPr>
    </w:p>
    <w:p w:rsidR="008017F0" w:rsidRDefault="008017F0">
      <w:pPr>
        <w:rPr>
          <w:rFonts w:ascii="Arial" w:hAnsi="Arial"/>
          <w:sz w:val="24"/>
        </w:rPr>
      </w:pPr>
      <w:r>
        <w:rPr>
          <w:rFonts w:ascii="Arial" w:hAnsi="Arial"/>
          <w:b/>
          <w:sz w:val="24"/>
        </w:rPr>
        <w:t>GENERALIDADES</w:t>
      </w:r>
      <w:r w:rsidR="0087036E">
        <w:rPr>
          <w:rFonts w:ascii="Arial" w:hAnsi="Arial"/>
          <w:b/>
          <w:sz w:val="24"/>
        </w:rPr>
        <w:t xml:space="preserve"> DEL PRODUCTO</w:t>
      </w:r>
      <w:r>
        <w:rPr>
          <w:rFonts w:ascii="Arial" w:hAnsi="Arial"/>
          <w:sz w:val="24"/>
        </w:rPr>
        <w:t xml:space="preserve">:  </w:t>
      </w:r>
    </w:p>
    <w:p w:rsidR="008017F0" w:rsidRDefault="005607F7">
      <w:pPr>
        <w:rPr>
          <w:rFonts w:ascii="Arial" w:hAnsi="Arial"/>
          <w:sz w:val="24"/>
        </w:rPr>
      </w:pPr>
      <w:r>
        <w:rPr>
          <w:rFonts w:ascii="Arial" w:hAnsi="Arial"/>
          <w:sz w:val="24"/>
        </w:rPr>
        <w:t>CARB TH</w:t>
      </w:r>
      <w:r w:rsidR="008017F0">
        <w:rPr>
          <w:rFonts w:ascii="Arial" w:hAnsi="Arial"/>
          <w:sz w:val="24"/>
        </w:rPr>
        <w:t xml:space="preserve">  es una </w:t>
      </w:r>
      <w:r w:rsidR="00677AE2">
        <w:rPr>
          <w:rFonts w:ascii="Arial" w:hAnsi="Arial"/>
          <w:sz w:val="24"/>
        </w:rPr>
        <w:t xml:space="preserve">suspensión concentrada para tratamiento de semillas, destinada </w:t>
      </w:r>
      <w:r w:rsidR="008017F0">
        <w:rPr>
          <w:rFonts w:ascii="Arial" w:hAnsi="Arial"/>
          <w:sz w:val="24"/>
        </w:rPr>
        <w:t>al control de enfermedades fúngicas. Contiene fungicida de contacto Thiram, combinado con fungicida sistémico Carbendazim, controlando las enfermedades fúngicas  que atacan la semilla desde la siembra y con posterioridad a la germinación.</w:t>
      </w:r>
    </w:p>
    <w:p w:rsidR="0087036E" w:rsidRDefault="0087036E">
      <w:pPr>
        <w:rPr>
          <w:rFonts w:ascii="Arial" w:hAnsi="Arial"/>
          <w:sz w:val="24"/>
        </w:rPr>
      </w:pPr>
    </w:p>
    <w:p w:rsidR="008017F0" w:rsidRPr="0087036E" w:rsidRDefault="0087036E">
      <w:pPr>
        <w:rPr>
          <w:rFonts w:ascii="Arial" w:hAnsi="Arial"/>
          <w:b/>
          <w:sz w:val="24"/>
        </w:rPr>
      </w:pPr>
      <w:r w:rsidRPr="0087036E">
        <w:rPr>
          <w:rFonts w:ascii="Arial" w:hAnsi="Arial"/>
          <w:b/>
          <w:sz w:val="24"/>
        </w:rPr>
        <w:t>INSTRUCCIONES DE USO:</w:t>
      </w:r>
    </w:p>
    <w:p w:rsidR="008017F0" w:rsidRDefault="008017F0">
      <w:pPr>
        <w:rPr>
          <w:rFonts w:ascii="Arial" w:hAnsi="Arial"/>
          <w:sz w:val="24"/>
        </w:rPr>
      </w:pPr>
      <w:r>
        <w:rPr>
          <w:rFonts w:ascii="Arial" w:hAnsi="Arial"/>
          <w:b/>
          <w:sz w:val="24"/>
        </w:rPr>
        <w:t>PREPARACION</w:t>
      </w:r>
      <w:r w:rsidR="0087036E">
        <w:rPr>
          <w:rFonts w:ascii="Arial" w:hAnsi="Arial"/>
          <w:b/>
          <w:sz w:val="24"/>
        </w:rPr>
        <w:t xml:space="preserve"> Y  EQUIPOS DE APLICACION</w:t>
      </w:r>
      <w:r>
        <w:rPr>
          <w:rFonts w:ascii="Arial" w:hAnsi="Arial"/>
          <w:b/>
          <w:sz w:val="24"/>
        </w:rPr>
        <w:t>:</w:t>
      </w:r>
      <w:r>
        <w:rPr>
          <w:rFonts w:ascii="Arial" w:hAnsi="Arial"/>
          <w:sz w:val="24"/>
        </w:rPr>
        <w:t xml:space="preserve">  </w:t>
      </w:r>
    </w:p>
    <w:p w:rsidR="008017F0" w:rsidRDefault="008017F0">
      <w:pPr>
        <w:rPr>
          <w:rFonts w:ascii="Arial" w:hAnsi="Arial"/>
          <w:sz w:val="24"/>
        </w:rPr>
      </w:pPr>
      <w:r>
        <w:rPr>
          <w:rFonts w:ascii="Arial" w:hAnsi="Arial"/>
          <w:sz w:val="24"/>
        </w:rPr>
        <w:t>AGÍTESE BIEN ANTES DE USAR</w:t>
      </w:r>
    </w:p>
    <w:p w:rsidR="008017F0" w:rsidRDefault="008017F0">
      <w:pPr>
        <w:rPr>
          <w:rFonts w:ascii="Arial" w:hAnsi="Arial"/>
          <w:sz w:val="24"/>
        </w:rPr>
      </w:pPr>
      <w:r>
        <w:rPr>
          <w:rFonts w:ascii="Arial" w:hAnsi="Arial"/>
          <w:sz w:val="24"/>
        </w:rPr>
        <w:t xml:space="preserve">_Llenar 2/3 de la capacidad de la tolva con semilla, agregar según la dosis </w:t>
      </w:r>
      <w:r w:rsidR="00677AE2">
        <w:rPr>
          <w:rFonts w:ascii="Arial" w:hAnsi="Arial"/>
          <w:sz w:val="24"/>
        </w:rPr>
        <w:t xml:space="preserve">que corresponda </w:t>
      </w:r>
      <w:r>
        <w:rPr>
          <w:rFonts w:ascii="Arial" w:hAnsi="Arial"/>
          <w:sz w:val="24"/>
        </w:rPr>
        <w:t>el fungicida, mezclar con varilla hasta lograr una coloración uniforme. Completar la carga de la tolva</w:t>
      </w:r>
      <w:r w:rsidR="00677AE2">
        <w:rPr>
          <w:rFonts w:ascii="Arial" w:hAnsi="Arial"/>
          <w:sz w:val="24"/>
        </w:rPr>
        <w:t xml:space="preserve"> </w:t>
      </w:r>
      <w:r>
        <w:rPr>
          <w:rFonts w:ascii="Arial" w:hAnsi="Arial"/>
          <w:sz w:val="24"/>
        </w:rPr>
        <w:t xml:space="preserve">y agregar el fungicida que resta, mezclar y proceder a sembrar.   </w:t>
      </w:r>
    </w:p>
    <w:p w:rsidR="00D63C9F" w:rsidRDefault="008017F0">
      <w:pPr>
        <w:rPr>
          <w:rFonts w:ascii="Arial" w:hAnsi="Arial"/>
          <w:sz w:val="24"/>
        </w:rPr>
      </w:pPr>
      <w:r>
        <w:rPr>
          <w:rFonts w:ascii="Arial" w:hAnsi="Arial"/>
          <w:sz w:val="24"/>
        </w:rPr>
        <w:lastRenderedPageBreak/>
        <w:t xml:space="preserve">– En caso de necesitar combinar el fungicida con inoculante líquido acuoso, llene parcialmente la tolva de la sembradora con semillas, agregue el contenido del sachet de inoculante dentro del bidón de </w:t>
      </w:r>
      <w:r w:rsidR="005607F7">
        <w:rPr>
          <w:rFonts w:ascii="Arial" w:hAnsi="Arial"/>
          <w:sz w:val="24"/>
        </w:rPr>
        <w:t>CARB TH</w:t>
      </w:r>
      <w:r>
        <w:rPr>
          <w:rFonts w:ascii="Arial" w:hAnsi="Arial"/>
          <w:sz w:val="24"/>
        </w:rPr>
        <w:t>, y aplique parte de esta</w:t>
      </w:r>
    </w:p>
    <w:p w:rsidR="008017F0" w:rsidRDefault="008017F0">
      <w:pPr>
        <w:rPr>
          <w:rFonts w:ascii="Arial" w:hAnsi="Arial"/>
          <w:sz w:val="24"/>
        </w:rPr>
      </w:pPr>
      <w:r>
        <w:rPr>
          <w:rFonts w:ascii="Arial" w:hAnsi="Arial"/>
          <w:sz w:val="24"/>
        </w:rPr>
        <w:t xml:space="preserve"> mezcla de acuerdo a la dosis de uso, mezclando con una varilla hasta lograr coloración uniforme, luego complete la tolva  y repita el mismo operativo con el restante de </w:t>
      </w:r>
      <w:r w:rsidR="005607F7">
        <w:rPr>
          <w:rFonts w:ascii="Arial" w:hAnsi="Arial"/>
          <w:sz w:val="24"/>
        </w:rPr>
        <w:t>CARB TH</w:t>
      </w:r>
      <w:r>
        <w:rPr>
          <w:rFonts w:ascii="Arial" w:hAnsi="Arial"/>
          <w:sz w:val="24"/>
        </w:rPr>
        <w:t xml:space="preserve">, respetando las indicaciones enunciadas. Proceda luego a realizar la siembra. </w:t>
      </w:r>
    </w:p>
    <w:p w:rsidR="00550554" w:rsidRDefault="00550554" w:rsidP="00550554">
      <w:pPr>
        <w:rPr>
          <w:rFonts w:ascii="Arial" w:hAnsi="Arial"/>
          <w:b/>
          <w:sz w:val="24"/>
        </w:rPr>
      </w:pPr>
    </w:p>
    <w:p w:rsidR="00550554" w:rsidRDefault="00550554" w:rsidP="00550554">
      <w:pPr>
        <w:rPr>
          <w:rFonts w:ascii="Arial" w:hAnsi="Arial"/>
          <w:sz w:val="24"/>
        </w:rPr>
      </w:pPr>
      <w:r>
        <w:rPr>
          <w:rFonts w:ascii="Arial" w:hAnsi="Arial"/>
          <w:b/>
          <w:sz w:val="24"/>
        </w:rPr>
        <w:t>RECOMENDACIONES DE USO</w:t>
      </w:r>
      <w:r>
        <w:rPr>
          <w:rFonts w:ascii="Arial" w:hAnsi="Arial"/>
          <w:sz w:val="24"/>
        </w:rPr>
        <w:t xml:space="preserve">: Destinado al control de enfermedades como </w:t>
      </w:r>
    </w:p>
    <w:p w:rsidR="00550554" w:rsidRDefault="00550554" w:rsidP="00550554">
      <w:pPr>
        <w:rPr>
          <w:rFonts w:ascii="Arial" w:hAnsi="Arial"/>
          <w:sz w:val="24"/>
        </w:rPr>
      </w:pPr>
      <w:r>
        <w:rPr>
          <w:rFonts w:ascii="Arial" w:hAnsi="Arial"/>
          <w:b/>
          <w:sz w:val="24"/>
        </w:rPr>
        <w:t>Dumping off y complejo de hongos de suelo:</w:t>
      </w:r>
      <w:r>
        <w:rPr>
          <w:rFonts w:ascii="Arial" w:hAnsi="Arial"/>
          <w:sz w:val="24"/>
        </w:rPr>
        <w:t xml:space="preserve"> Rhyzoctonia solani, Phytium sp, Penicillum sp, Fusarium sp , Aspergillus flavus y Aspergillus niger)</w:t>
      </w:r>
    </w:p>
    <w:p w:rsidR="00550554" w:rsidRDefault="00550554" w:rsidP="00550554">
      <w:pPr>
        <w:rPr>
          <w:b/>
        </w:rPr>
      </w:pPr>
      <w:r>
        <w:rPr>
          <w:rFonts w:ascii="Arial" w:hAnsi="Arial"/>
          <w:b/>
          <w:sz w:val="24"/>
        </w:rPr>
        <w:t>Patógenos presentes en la semilla:</w:t>
      </w:r>
      <w:r>
        <w:rPr>
          <w:rFonts w:ascii="Arial" w:hAnsi="Arial"/>
          <w:sz w:val="24"/>
        </w:rPr>
        <w:t xml:space="preserve">  Mancha púrpura (Cercoscopra kikuchi), Tizón del tallo y de la vaina( Phomopsis phaseoli sp),</w:t>
      </w:r>
      <w:r>
        <w:rPr>
          <w:rFonts w:ascii="Arial" w:hAnsi="Arial"/>
          <w:b/>
          <w:sz w:val="24"/>
        </w:rPr>
        <w:t xml:space="preserve"> </w:t>
      </w:r>
      <w:r>
        <w:rPr>
          <w:rFonts w:ascii="Arial" w:hAnsi="Arial"/>
          <w:sz w:val="24"/>
        </w:rPr>
        <w:t>Podredumbre de la semilla  (Phythophtora sp, Rhizopus sp</w:t>
      </w:r>
      <w:r>
        <w:t xml:space="preserve">, </w:t>
      </w:r>
      <w:r>
        <w:rPr>
          <w:rFonts w:ascii="Arial" w:hAnsi="Arial"/>
          <w:sz w:val="24"/>
        </w:rPr>
        <w:t>Mucor sp</w:t>
      </w:r>
      <w:r>
        <w:t>)</w:t>
      </w:r>
      <w:r>
        <w:rPr>
          <w:rFonts w:ascii="Arial" w:hAnsi="Arial"/>
          <w:sz w:val="24"/>
        </w:rPr>
        <w:t xml:space="preserve"> Antracnosis (Colletotrichum sp), Podredumbre seca de la espiga (Fusarium moniliforme, Diplodia zeae) </w:t>
      </w:r>
    </w:p>
    <w:p w:rsidR="00550554" w:rsidRDefault="00550554" w:rsidP="00550554">
      <w:pPr>
        <w:rPr>
          <w:rFonts w:ascii="Arial" w:hAnsi="Arial"/>
          <w:b/>
          <w:sz w:val="24"/>
        </w:rPr>
      </w:pPr>
      <w:r>
        <w:rPr>
          <w:rFonts w:ascii="Arial" w:hAnsi="Arial"/>
          <w:sz w:val="24"/>
        </w:rPr>
        <w:t>Carbón volador (Ustilago tritici); Caries:</w:t>
      </w:r>
      <w:r>
        <w:rPr>
          <w:rFonts w:ascii="Arial" w:hAnsi="Arial"/>
          <w:b/>
          <w:sz w:val="24"/>
        </w:rPr>
        <w:t xml:space="preserve"> </w:t>
      </w:r>
      <w:r>
        <w:rPr>
          <w:rFonts w:ascii="Arial" w:hAnsi="Arial"/>
          <w:sz w:val="24"/>
        </w:rPr>
        <w:t>Tilletia sp;</w:t>
      </w:r>
      <w:r>
        <w:rPr>
          <w:rFonts w:ascii="Arial" w:hAnsi="Arial"/>
          <w:b/>
          <w:sz w:val="24"/>
        </w:rPr>
        <w:t xml:space="preserve"> </w:t>
      </w:r>
      <w:r>
        <w:rPr>
          <w:rFonts w:ascii="Arial" w:hAnsi="Arial"/>
          <w:sz w:val="24"/>
        </w:rPr>
        <w:t>Fusariosis o Golpe Blanco:</w:t>
      </w:r>
      <w:r>
        <w:rPr>
          <w:rFonts w:ascii="Arial" w:hAnsi="Arial"/>
          <w:b/>
          <w:sz w:val="24"/>
        </w:rPr>
        <w:t xml:space="preserve"> </w:t>
      </w:r>
      <w:r>
        <w:rPr>
          <w:rFonts w:ascii="Arial" w:hAnsi="Arial"/>
          <w:sz w:val="24"/>
        </w:rPr>
        <w:t>(Fusarium graminearum)</w:t>
      </w:r>
    </w:p>
    <w:p w:rsidR="00550554" w:rsidRDefault="00550554" w:rsidP="00550554">
      <w:pPr>
        <w:rPr>
          <w:rFonts w:ascii="Arial" w:hAnsi="Arial"/>
          <w:sz w:val="24"/>
        </w:rPr>
      </w:pPr>
    </w:p>
    <w:p w:rsidR="00550554" w:rsidRDefault="00550554" w:rsidP="00550554">
      <w:pPr>
        <w:rPr>
          <w:rFonts w:ascii="Arial" w:hAnsi="Arial"/>
          <w:sz w:val="24"/>
        </w:rPr>
      </w:pPr>
      <w:r>
        <w:rPr>
          <w:rFonts w:ascii="Arial" w:hAnsi="Arial"/>
          <w:b/>
          <w:sz w:val="24"/>
        </w:rPr>
        <w:t xml:space="preserve">DOSIS:  </w:t>
      </w:r>
      <w:r>
        <w:rPr>
          <w:rFonts w:ascii="Arial" w:hAnsi="Arial"/>
          <w:sz w:val="24"/>
        </w:rPr>
        <w:t xml:space="preserve"> 300 cm3 de producto formulado por cada 100 kg de semilla de soja, algodón, arveja, avena, cebada, cebadilla, maíz, maíz dulce, poroto o trigo y semilla de maní sin cáscara.</w:t>
      </w:r>
    </w:p>
    <w:p w:rsidR="00550554" w:rsidRDefault="00550554" w:rsidP="00550554">
      <w:pPr>
        <w:rPr>
          <w:rFonts w:ascii="Arial" w:hAnsi="Arial"/>
          <w:sz w:val="24"/>
        </w:rPr>
      </w:pPr>
      <w:r>
        <w:rPr>
          <w:rFonts w:ascii="Arial" w:hAnsi="Arial"/>
          <w:sz w:val="24"/>
        </w:rPr>
        <w:t>Para Tizón del tallo y de la vaina</w:t>
      </w:r>
      <w:r w:rsidR="00677AE2">
        <w:rPr>
          <w:rFonts w:ascii="Arial" w:hAnsi="Arial"/>
          <w:sz w:val="24"/>
        </w:rPr>
        <w:t xml:space="preserve"> (</w:t>
      </w:r>
      <w:r>
        <w:rPr>
          <w:rFonts w:ascii="Arial" w:hAnsi="Arial"/>
          <w:sz w:val="24"/>
        </w:rPr>
        <w:t>Phomopsis phaseoli sp): 600 cm3/100 kg de semilla de soja.</w:t>
      </w:r>
    </w:p>
    <w:p w:rsidR="00550554" w:rsidRDefault="00550554" w:rsidP="00550554">
      <w:pPr>
        <w:rPr>
          <w:rFonts w:ascii="Arial" w:hAnsi="Arial"/>
          <w:sz w:val="24"/>
        </w:rPr>
      </w:pPr>
    </w:p>
    <w:p w:rsidR="008017F0" w:rsidRDefault="008017F0">
      <w:pPr>
        <w:rPr>
          <w:rFonts w:ascii="Arial" w:hAnsi="Arial"/>
          <w:sz w:val="24"/>
        </w:rPr>
      </w:pPr>
      <w:r>
        <w:rPr>
          <w:rFonts w:ascii="Arial" w:hAnsi="Arial"/>
          <w:b/>
          <w:sz w:val="24"/>
        </w:rPr>
        <w:t>RESTRICCIONES DE USO:</w:t>
      </w:r>
      <w:r>
        <w:rPr>
          <w:rFonts w:ascii="Arial" w:hAnsi="Arial"/>
          <w:sz w:val="24"/>
        </w:rPr>
        <w:t xml:space="preserve">  </w:t>
      </w:r>
    </w:p>
    <w:p w:rsidR="008017F0" w:rsidRDefault="008017F0">
      <w:pPr>
        <w:rPr>
          <w:rFonts w:ascii="Arial" w:hAnsi="Arial"/>
          <w:sz w:val="24"/>
        </w:rPr>
      </w:pPr>
      <w:r>
        <w:rPr>
          <w:rFonts w:ascii="Arial" w:hAnsi="Arial"/>
          <w:sz w:val="24"/>
        </w:rPr>
        <w:t xml:space="preserve">La semilla tratada será destinada únicamente a la siembra, no siendo apta para la alimentación, forraje o extracción de aceite. La venta de semilla tratada para otro destino que no sea la siembra, esta penada por la ley 18073, que prohibe la mezcla de semilla tratada con este producto fungicida, con granos destinados a consumo humano ó animal. Comprobada la </w:t>
      </w:r>
      <w:r w:rsidR="007C15C3">
        <w:rPr>
          <w:rFonts w:ascii="Arial" w:hAnsi="Arial"/>
          <w:sz w:val="24"/>
        </w:rPr>
        <w:t>presencia de curasemillas (fung</w:t>
      </w:r>
      <w:r>
        <w:rPr>
          <w:rFonts w:ascii="Arial" w:hAnsi="Arial"/>
          <w:sz w:val="24"/>
        </w:rPr>
        <w:t>icida ó insecticida) en granos para consumo, la ley establece severas penas a los infractores. Recuerde que una bolsa de semilla tratada, mezclada en varios silos de grano para  consumo, es suficiente para que la mezcla sea venenosa.</w:t>
      </w:r>
    </w:p>
    <w:p w:rsidR="008017F0" w:rsidRPr="00045CF3" w:rsidRDefault="008017F0">
      <w:pPr>
        <w:pStyle w:val="NormalWeb"/>
        <w:rPr>
          <w:rFonts w:ascii="Arial" w:hAnsi="Arial" w:cs="Arial"/>
          <w:i/>
        </w:rPr>
      </w:pPr>
      <w:r w:rsidRPr="00045CF3">
        <w:rPr>
          <w:rFonts w:ascii="Arial" w:hAnsi="Arial" w:cs="Arial"/>
          <w:i/>
        </w:rPr>
        <w:t>“En caso que el cultivo o sus subproductos se destinen a la exportación, deberá conocerse el límite máximo de residuos del país de destino y observar el período de carencia que corresponda a ese valor de tolerancia”.</w:t>
      </w:r>
    </w:p>
    <w:p w:rsidR="008017F0" w:rsidRDefault="008017F0">
      <w:pPr>
        <w:rPr>
          <w:rFonts w:ascii="Arial" w:hAnsi="Arial"/>
          <w:sz w:val="24"/>
        </w:rPr>
      </w:pPr>
    </w:p>
    <w:p w:rsidR="008017F0" w:rsidRDefault="008017F0">
      <w:pPr>
        <w:rPr>
          <w:rFonts w:ascii="Arial" w:hAnsi="Arial"/>
          <w:sz w:val="24"/>
        </w:rPr>
      </w:pPr>
      <w:r>
        <w:rPr>
          <w:rFonts w:ascii="Arial" w:hAnsi="Arial"/>
          <w:b/>
          <w:sz w:val="24"/>
        </w:rPr>
        <w:t>COMPATIBILIDAD:</w:t>
      </w:r>
      <w:r>
        <w:rPr>
          <w:rFonts w:ascii="Arial" w:hAnsi="Arial"/>
          <w:sz w:val="24"/>
        </w:rPr>
        <w:t xml:space="preserve"> </w:t>
      </w:r>
      <w:r w:rsidR="005607F7">
        <w:rPr>
          <w:rFonts w:ascii="Arial" w:hAnsi="Arial"/>
          <w:sz w:val="24"/>
        </w:rPr>
        <w:t>CARB TH</w:t>
      </w:r>
      <w:r>
        <w:rPr>
          <w:rFonts w:ascii="Arial" w:hAnsi="Arial"/>
          <w:sz w:val="24"/>
        </w:rPr>
        <w:t xml:space="preserve"> es compatible con los plaguicidas y fertilizantes de reacción neutra. No mezclar con productos de reacción alcalina.</w:t>
      </w:r>
    </w:p>
    <w:p w:rsidR="008017F0" w:rsidRDefault="008017F0">
      <w:pPr>
        <w:rPr>
          <w:rFonts w:ascii="Arial" w:hAnsi="Arial"/>
          <w:sz w:val="24"/>
        </w:rPr>
      </w:pPr>
    </w:p>
    <w:p w:rsidR="008017F0" w:rsidRDefault="008017F0">
      <w:pPr>
        <w:rPr>
          <w:rFonts w:ascii="Arial" w:hAnsi="Arial"/>
          <w:sz w:val="24"/>
        </w:rPr>
      </w:pPr>
      <w:r>
        <w:rPr>
          <w:rFonts w:ascii="Arial" w:hAnsi="Arial"/>
          <w:b/>
          <w:sz w:val="24"/>
        </w:rPr>
        <w:t>FITOTOXICIDAD</w:t>
      </w:r>
      <w:r>
        <w:rPr>
          <w:rFonts w:ascii="Arial" w:hAnsi="Arial"/>
          <w:sz w:val="24"/>
        </w:rPr>
        <w:t>: No fitotóxico, empleado a la dosis y en los cultivos adecuados.</w:t>
      </w:r>
    </w:p>
    <w:p w:rsidR="008017F0" w:rsidRDefault="008017F0">
      <w:pPr>
        <w:rPr>
          <w:rFonts w:ascii="Arial" w:hAnsi="Arial"/>
          <w:sz w:val="24"/>
        </w:rPr>
      </w:pPr>
    </w:p>
    <w:p w:rsidR="008017F0" w:rsidRDefault="008017F0">
      <w:pPr>
        <w:pStyle w:val="Ttulo5"/>
        <w:rPr>
          <w:rFonts w:ascii="Arial" w:hAnsi="Arial" w:cs="Arial"/>
          <w:sz w:val="24"/>
        </w:rPr>
      </w:pPr>
      <w:r>
        <w:rPr>
          <w:rFonts w:ascii="Arial" w:hAnsi="Arial" w:cs="Arial"/>
          <w:sz w:val="24"/>
        </w:rPr>
        <w:t>“CONSULTE CON UN INGENIERO AGRONOMO”</w:t>
      </w:r>
    </w:p>
    <w:p w:rsidR="008017F0" w:rsidRDefault="008017F0">
      <w:pPr>
        <w:pStyle w:val="NormalWeb"/>
        <w:spacing w:before="0" w:beforeAutospacing="0" w:after="0" w:afterAutospacing="0"/>
        <w:rPr>
          <w:rFonts w:ascii="Arial" w:hAnsi="Arial"/>
          <w:szCs w:val="20"/>
          <w:lang w:val="es-AR"/>
        </w:rPr>
      </w:pPr>
    </w:p>
    <w:p w:rsidR="00D63C9F" w:rsidRDefault="008017F0">
      <w:pPr>
        <w:pBdr>
          <w:bottom w:val="single" w:sz="6" w:space="1" w:color="auto"/>
        </w:pBdr>
        <w:rPr>
          <w:rFonts w:ascii="Arial" w:hAnsi="Arial"/>
          <w:sz w:val="24"/>
        </w:rPr>
      </w:pPr>
      <w:r>
        <w:rPr>
          <w:rFonts w:ascii="Arial" w:hAnsi="Arial"/>
          <w:b/>
          <w:sz w:val="24"/>
          <w:u w:val="single"/>
        </w:rPr>
        <w:lastRenderedPageBreak/>
        <w:t>GARANTIA:</w:t>
      </w:r>
      <w:r>
        <w:rPr>
          <w:rFonts w:ascii="Arial" w:hAnsi="Arial"/>
          <w:sz w:val="24"/>
        </w:rPr>
        <w:t xml:space="preserve"> Prodinsa Argentina S.A. elabora estos productos con las más estrictas normas de calidad, por lo cuál no se responsabiliza por los daños </w:t>
      </w:r>
    </w:p>
    <w:p w:rsidR="008017F0" w:rsidRDefault="008017F0">
      <w:pPr>
        <w:pBdr>
          <w:bottom w:val="single" w:sz="6" w:space="1" w:color="auto"/>
        </w:pBdr>
        <w:rPr>
          <w:rFonts w:ascii="Arial" w:hAnsi="Arial"/>
          <w:sz w:val="24"/>
        </w:rPr>
      </w:pPr>
      <w:r>
        <w:rPr>
          <w:rFonts w:ascii="Arial" w:hAnsi="Arial"/>
          <w:sz w:val="24"/>
        </w:rPr>
        <w:t>derivados de un uso diferente al especificado en el rótulo. De no haberse tenido las precauciones necesarias y de no conservarlo en las condiciones adecuadas de almacenamiento.</w:t>
      </w:r>
    </w:p>
    <w:p w:rsidR="008017F0" w:rsidRDefault="008017F0">
      <w:pPr>
        <w:rPr>
          <w:rFonts w:ascii="Arial" w:hAnsi="Arial"/>
          <w:b/>
          <w:sz w:val="24"/>
          <w:u w:val="single"/>
        </w:rPr>
      </w:pPr>
    </w:p>
    <w:p w:rsidR="008017F0" w:rsidRDefault="008017F0">
      <w:pPr>
        <w:pStyle w:val="Ttulo2"/>
        <w:rPr>
          <w:b/>
          <w:u w:val="single"/>
        </w:rPr>
      </w:pPr>
      <w:r>
        <w:rPr>
          <w:b/>
          <w:u w:val="single"/>
        </w:rPr>
        <w:t>CUERPO IZQUIERDO</w:t>
      </w:r>
    </w:p>
    <w:p w:rsidR="008017F0" w:rsidRPr="005D2F40" w:rsidRDefault="005D2F40">
      <w:pPr>
        <w:rPr>
          <w:rFonts w:ascii="Arial" w:hAnsi="Arial"/>
          <w:b/>
          <w:sz w:val="24"/>
        </w:rPr>
      </w:pPr>
      <w:r w:rsidRPr="005D2F40">
        <w:rPr>
          <w:rFonts w:ascii="Arial" w:hAnsi="Arial"/>
          <w:b/>
          <w:sz w:val="24"/>
        </w:rPr>
        <w:t>PRECAUCIONES:</w:t>
      </w:r>
    </w:p>
    <w:p w:rsidR="00CF2AEC" w:rsidRPr="00CF4088" w:rsidRDefault="00CF2AEC" w:rsidP="00CF2AEC">
      <w:pPr>
        <w:tabs>
          <w:tab w:val="left" w:pos="-720"/>
        </w:tabs>
        <w:spacing w:line="288" w:lineRule="atLeast"/>
        <w:jc w:val="both"/>
        <w:rPr>
          <w:rFonts w:ascii="Arial" w:hAnsi="Arial" w:cs="Arial"/>
          <w:sz w:val="22"/>
          <w:szCs w:val="22"/>
        </w:rPr>
      </w:pPr>
      <w:r w:rsidRPr="00CF4088">
        <w:rPr>
          <w:rFonts w:ascii="Arial" w:hAnsi="Arial" w:cs="Arial"/>
          <w:sz w:val="22"/>
          <w:szCs w:val="22"/>
        </w:rPr>
        <w:t>MANTENER ALEJADO DEL ALCANCE DE LOS NIÑOS Y PERSONAS   INEXPERTAS</w:t>
      </w:r>
    </w:p>
    <w:p w:rsidR="00CF2AEC" w:rsidRPr="00CF4088" w:rsidRDefault="00CF2AEC" w:rsidP="00CF2AEC">
      <w:pPr>
        <w:tabs>
          <w:tab w:val="left" w:pos="-720"/>
        </w:tabs>
        <w:spacing w:line="288" w:lineRule="atLeast"/>
        <w:jc w:val="both"/>
        <w:rPr>
          <w:rFonts w:ascii="Arial" w:hAnsi="Arial" w:cs="Arial"/>
          <w:sz w:val="22"/>
          <w:szCs w:val="22"/>
        </w:rPr>
      </w:pPr>
      <w:r w:rsidRPr="00CF4088">
        <w:rPr>
          <w:rFonts w:ascii="Arial" w:hAnsi="Arial" w:cs="Arial"/>
          <w:sz w:val="22"/>
          <w:szCs w:val="22"/>
        </w:rPr>
        <w:t>NO TRANSPORTAR NI ALMACENAR CON ALIMENTOS</w:t>
      </w:r>
    </w:p>
    <w:p w:rsidR="00CF2AEC" w:rsidRPr="00CF4088" w:rsidRDefault="00CF2AEC" w:rsidP="00CF2AEC">
      <w:pPr>
        <w:tabs>
          <w:tab w:val="left" w:pos="-720"/>
        </w:tabs>
        <w:spacing w:line="288" w:lineRule="atLeast"/>
        <w:jc w:val="both"/>
        <w:rPr>
          <w:rFonts w:ascii="Arial" w:hAnsi="Arial" w:cs="Arial"/>
          <w:sz w:val="22"/>
          <w:szCs w:val="22"/>
        </w:rPr>
      </w:pPr>
      <w:r w:rsidRPr="00CF4088">
        <w:rPr>
          <w:rFonts w:ascii="Arial" w:hAnsi="Arial" w:cs="Arial"/>
          <w:sz w:val="22"/>
          <w:szCs w:val="22"/>
        </w:rPr>
        <w:t>INUTILIZAR LOS ENVASES VACIOS PARA EVITAR OTROS USOS.</w:t>
      </w:r>
    </w:p>
    <w:p w:rsidR="00CF2AEC" w:rsidRPr="00CF4088" w:rsidRDefault="00CF2AEC" w:rsidP="00CF2AEC">
      <w:pPr>
        <w:tabs>
          <w:tab w:val="left" w:pos="-720"/>
        </w:tabs>
        <w:spacing w:line="288" w:lineRule="atLeast"/>
        <w:jc w:val="both"/>
        <w:rPr>
          <w:rFonts w:ascii="Arial" w:hAnsi="Arial" w:cs="Arial"/>
          <w:sz w:val="22"/>
          <w:szCs w:val="22"/>
        </w:rPr>
      </w:pPr>
      <w:r w:rsidRPr="00CF4088">
        <w:rPr>
          <w:rFonts w:ascii="Arial" w:hAnsi="Arial" w:cs="Arial"/>
          <w:sz w:val="22"/>
          <w:szCs w:val="22"/>
        </w:rPr>
        <w:t>EN CASO DE INTOXICACION LLEVE ESTA ETIQUETA AL MEDICO</w:t>
      </w:r>
    </w:p>
    <w:p w:rsidR="00CF2AEC" w:rsidRPr="00CF4088" w:rsidRDefault="00CF2AEC" w:rsidP="00CF2AEC">
      <w:pPr>
        <w:tabs>
          <w:tab w:val="left" w:pos="-720"/>
        </w:tabs>
        <w:spacing w:line="288" w:lineRule="atLeast"/>
        <w:jc w:val="both"/>
        <w:rPr>
          <w:rFonts w:ascii="Arial" w:hAnsi="Arial" w:cs="Arial"/>
          <w:sz w:val="22"/>
          <w:szCs w:val="22"/>
        </w:rPr>
      </w:pPr>
      <w:r w:rsidRPr="00CF4088">
        <w:rPr>
          <w:rFonts w:ascii="Arial" w:hAnsi="Arial" w:cs="Arial"/>
          <w:sz w:val="22"/>
          <w:szCs w:val="22"/>
        </w:rPr>
        <w:t>EL PRESENTE PRODUCTO DEBE SER COMERCIALIZADO Y APLICADO DANDO CUMPLIMIENTO A LAS NORMATIVAS PROVINCIALES Y MUNICIPALES VIGENTES</w:t>
      </w:r>
    </w:p>
    <w:p w:rsidR="00CF2AEC" w:rsidRPr="00CF4088" w:rsidRDefault="00CF2AEC" w:rsidP="00CF2AEC">
      <w:pPr>
        <w:tabs>
          <w:tab w:val="left" w:pos="-720"/>
        </w:tabs>
        <w:spacing w:line="288" w:lineRule="atLeast"/>
        <w:jc w:val="both"/>
        <w:rPr>
          <w:rFonts w:ascii="Arial" w:hAnsi="Arial" w:cs="Arial"/>
          <w:sz w:val="22"/>
          <w:szCs w:val="22"/>
        </w:rPr>
      </w:pPr>
      <w:r w:rsidRPr="00CF4088">
        <w:rPr>
          <w:rFonts w:ascii="Arial" w:hAnsi="Arial" w:cs="Arial"/>
          <w:sz w:val="22"/>
          <w:szCs w:val="22"/>
        </w:rPr>
        <w:t>PELIGRO. SU USO INCORRECTO PUEDE PROVOCAR DAÑOS A LA SALUD Y AL AMBIENTE. LEA ATENTAMENTE LA ETIQUETA</w:t>
      </w:r>
    </w:p>
    <w:p w:rsidR="008017F0" w:rsidRDefault="008017F0">
      <w:pPr>
        <w:rPr>
          <w:rFonts w:ascii="Arial" w:hAnsi="Arial"/>
          <w:b/>
          <w:sz w:val="24"/>
          <w:u w:val="single"/>
        </w:rPr>
      </w:pPr>
    </w:p>
    <w:p w:rsidR="008017F0" w:rsidRDefault="008017F0">
      <w:pPr>
        <w:rPr>
          <w:rFonts w:ascii="Arial" w:hAnsi="Arial"/>
          <w:sz w:val="24"/>
          <w:lang w:val="es-MX"/>
        </w:rPr>
      </w:pPr>
      <w:r>
        <w:rPr>
          <w:rFonts w:ascii="Arial" w:hAnsi="Arial"/>
          <w:b/>
          <w:sz w:val="24"/>
          <w:lang w:val="es-MX"/>
        </w:rPr>
        <w:t>MEDIDAS PRECAUTORIAS GENERALES:</w:t>
      </w:r>
    </w:p>
    <w:p w:rsidR="008017F0" w:rsidRDefault="008017F0">
      <w:pPr>
        <w:rPr>
          <w:rFonts w:ascii="Arial" w:hAnsi="Arial"/>
          <w:sz w:val="24"/>
        </w:rPr>
      </w:pPr>
      <w:r>
        <w:rPr>
          <w:rFonts w:ascii="Arial" w:hAnsi="Arial"/>
          <w:sz w:val="24"/>
        </w:rPr>
        <w:t>Evitar su inhalación, el contacto con la piel y la contaminación de alimentos. Usar guantes, gafas, máscara y ropa protectora adecuada para su aplicación. Después de usarlo lavarse bien con abundante agua y jabón todas las partes del cuerpo expuestas al producto, como así también la ropa utilizada. No beber, comer o fumar durante las tareas de curado de semilla. Destruir los envases vacíos y lavar cuidadosamente con soda cáustica los utensilios utilizados.</w:t>
      </w:r>
    </w:p>
    <w:p w:rsidR="008017F0" w:rsidRDefault="008017F0">
      <w:pPr>
        <w:rPr>
          <w:rFonts w:ascii="Arial" w:hAnsi="Arial"/>
          <w:sz w:val="24"/>
        </w:rPr>
      </w:pPr>
    </w:p>
    <w:p w:rsidR="008017F0" w:rsidRDefault="008017F0">
      <w:pPr>
        <w:rPr>
          <w:rFonts w:ascii="Arial" w:hAnsi="Arial"/>
          <w:sz w:val="24"/>
        </w:rPr>
      </w:pPr>
      <w:r>
        <w:rPr>
          <w:rFonts w:ascii="Arial" w:hAnsi="Arial"/>
          <w:b/>
          <w:sz w:val="24"/>
        </w:rPr>
        <w:t>RIESGOS AMBIENTALES</w:t>
      </w:r>
      <w:r>
        <w:rPr>
          <w:rFonts w:ascii="Arial" w:hAnsi="Arial"/>
          <w:sz w:val="24"/>
        </w:rPr>
        <w:t xml:space="preserve">: </w:t>
      </w:r>
    </w:p>
    <w:p w:rsidR="008017F0" w:rsidRDefault="008017F0">
      <w:pPr>
        <w:rPr>
          <w:rFonts w:ascii="Arial" w:hAnsi="Arial"/>
          <w:sz w:val="24"/>
        </w:rPr>
      </w:pPr>
      <w:r>
        <w:rPr>
          <w:rFonts w:ascii="Arial" w:hAnsi="Arial"/>
          <w:sz w:val="24"/>
        </w:rPr>
        <w:t xml:space="preserve">Prácticamente no tóxico para aves. Ligeramente tóxico para peces. Virtualmente no tóxico para abejas. </w:t>
      </w:r>
      <w:r>
        <w:rPr>
          <w:rFonts w:ascii="Arial" w:hAnsi="Arial"/>
          <w:sz w:val="24"/>
          <w:lang w:val="es-MX"/>
        </w:rPr>
        <w:t>No contaminar fuentes y cursos de agua.</w:t>
      </w:r>
    </w:p>
    <w:p w:rsidR="008017F0" w:rsidRDefault="008017F0">
      <w:pPr>
        <w:rPr>
          <w:rFonts w:ascii="Arial" w:hAnsi="Arial"/>
          <w:sz w:val="24"/>
        </w:rPr>
      </w:pPr>
    </w:p>
    <w:p w:rsidR="008017F0" w:rsidRDefault="008017F0">
      <w:pPr>
        <w:pStyle w:val="Textoindependiente3"/>
        <w:rPr>
          <w:rFonts w:ascii="Arial" w:hAnsi="Arial"/>
          <w:snapToGrid/>
          <w:sz w:val="24"/>
          <w:lang w:val="es-MX"/>
        </w:rPr>
      </w:pPr>
      <w:r>
        <w:rPr>
          <w:rFonts w:ascii="Arial" w:hAnsi="Arial"/>
          <w:snapToGrid/>
          <w:sz w:val="24"/>
          <w:lang w:val="es-MX"/>
        </w:rPr>
        <w:t>TRATAMIENTO DE REMANENTES</w:t>
      </w:r>
      <w:r w:rsidR="00CF2AEC">
        <w:rPr>
          <w:rFonts w:ascii="Arial" w:hAnsi="Arial"/>
          <w:snapToGrid/>
          <w:sz w:val="24"/>
          <w:lang w:val="es-MX"/>
        </w:rPr>
        <w:t xml:space="preserve"> Y CALDOS DE APLICACION</w:t>
      </w:r>
      <w:r>
        <w:rPr>
          <w:rFonts w:ascii="Arial" w:hAnsi="Arial"/>
          <w:snapToGrid/>
          <w:sz w:val="24"/>
          <w:lang w:val="es-MX"/>
        </w:rPr>
        <w:t xml:space="preserve">: </w:t>
      </w:r>
    </w:p>
    <w:p w:rsidR="008017F0" w:rsidRDefault="008017F0">
      <w:pPr>
        <w:pStyle w:val="Textoindependiente3"/>
        <w:rPr>
          <w:rFonts w:ascii="Arial" w:hAnsi="Arial"/>
          <w:b w:val="0"/>
          <w:snapToGrid/>
          <w:sz w:val="24"/>
          <w:lang w:val="es-MX"/>
        </w:rPr>
      </w:pPr>
      <w:r>
        <w:rPr>
          <w:rFonts w:ascii="Arial" w:hAnsi="Arial"/>
          <w:b w:val="0"/>
          <w:snapToGrid/>
          <w:sz w:val="24"/>
          <w:lang w:val="es-MX"/>
        </w:rPr>
        <w:t>Verter la totalidad del contenido del envase, cuidando de escurrirlo bien, en el tanque de aplicación para el tratamiento de semillas.</w:t>
      </w:r>
    </w:p>
    <w:p w:rsidR="008017F0" w:rsidRDefault="008017F0">
      <w:pPr>
        <w:rPr>
          <w:rFonts w:ascii="Arial" w:hAnsi="Arial"/>
          <w:sz w:val="24"/>
          <w:lang w:val="es-MX"/>
        </w:rPr>
      </w:pPr>
    </w:p>
    <w:p w:rsidR="008017F0" w:rsidRDefault="008017F0">
      <w:pPr>
        <w:jc w:val="both"/>
        <w:rPr>
          <w:rFonts w:ascii="Arial" w:hAnsi="Arial"/>
          <w:b/>
          <w:bCs/>
          <w:sz w:val="24"/>
        </w:rPr>
      </w:pPr>
      <w:r>
        <w:rPr>
          <w:rFonts w:ascii="Arial" w:hAnsi="Arial"/>
          <w:b/>
          <w:bCs/>
          <w:sz w:val="24"/>
        </w:rPr>
        <w:t>TRATAMIENTO Y METODO DE DESTRUCCION DE ENVASES VACIOS:</w:t>
      </w:r>
    </w:p>
    <w:p w:rsidR="008017F0" w:rsidRDefault="008017F0">
      <w:pPr>
        <w:pStyle w:val="Textosinformato"/>
        <w:rPr>
          <w:rFonts w:ascii="Arial" w:hAnsi="Arial"/>
          <w:spacing w:val="-3"/>
          <w:sz w:val="24"/>
        </w:rPr>
      </w:pPr>
      <w:r>
        <w:rPr>
          <w:rFonts w:ascii="Arial" w:hAnsi="Arial"/>
          <w:spacing w:val="-3"/>
          <w:sz w:val="24"/>
        </w:rPr>
        <w:t>Una vez usados los envases deben someterse al triple lavado e inutilizarse por perforación. Luego deben ser enterrados en un lugar alto, junto con materia orgánica y lejos de fuentes de agua (ríos, arroyos, lagos, etc), siguiendo normas y reglamentaciones locales o nacionales o incinerados en un incinerador apto para agroquímicos.</w:t>
      </w:r>
    </w:p>
    <w:p w:rsidR="008017F0" w:rsidRDefault="008017F0">
      <w:pPr>
        <w:rPr>
          <w:rFonts w:ascii="Arial" w:hAnsi="Arial"/>
          <w:sz w:val="24"/>
          <w:lang w:val="es-ES_tradnl"/>
        </w:rPr>
      </w:pPr>
    </w:p>
    <w:p w:rsidR="008017F0" w:rsidRDefault="008017F0">
      <w:pPr>
        <w:rPr>
          <w:rFonts w:ascii="Arial" w:hAnsi="Arial"/>
          <w:sz w:val="24"/>
        </w:rPr>
      </w:pPr>
      <w:r>
        <w:rPr>
          <w:rFonts w:ascii="Arial" w:hAnsi="Arial"/>
          <w:b/>
          <w:sz w:val="24"/>
        </w:rPr>
        <w:t>ALMACENAMIENTO:</w:t>
      </w:r>
      <w:r>
        <w:rPr>
          <w:rFonts w:ascii="Arial" w:hAnsi="Arial"/>
          <w:sz w:val="24"/>
        </w:rPr>
        <w:t xml:space="preserve"> </w:t>
      </w:r>
    </w:p>
    <w:p w:rsidR="008017F0" w:rsidRDefault="008017F0">
      <w:pPr>
        <w:rPr>
          <w:rFonts w:ascii="Arial" w:hAnsi="Arial"/>
          <w:sz w:val="24"/>
        </w:rPr>
      </w:pPr>
      <w:r>
        <w:rPr>
          <w:rFonts w:ascii="Arial" w:hAnsi="Arial"/>
          <w:sz w:val="24"/>
        </w:rPr>
        <w:t xml:space="preserve">Almacenar en su envase original en lugares frescos, secos y ventilados. </w:t>
      </w:r>
    </w:p>
    <w:p w:rsidR="008017F0" w:rsidRDefault="008017F0">
      <w:pPr>
        <w:rPr>
          <w:rFonts w:ascii="Arial" w:hAnsi="Arial"/>
          <w:sz w:val="24"/>
        </w:rPr>
      </w:pPr>
    </w:p>
    <w:p w:rsidR="008017F0" w:rsidRDefault="008017F0">
      <w:pPr>
        <w:rPr>
          <w:rFonts w:ascii="Arial" w:hAnsi="Arial"/>
          <w:sz w:val="24"/>
        </w:rPr>
      </w:pPr>
      <w:r>
        <w:rPr>
          <w:rFonts w:ascii="Arial" w:hAnsi="Arial"/>
          <w:b/>
          <w:sz w:val="24"/>
        </w:rPr>
        <w:t>DERRAMES</w:t>
      </w:r>
      <w:r>
        <w:rPr>
          <w:rFonts w:ascii="Arial" w:hAnsi="Arial"/>
          <w:sz w:val="24"/>
        </w:rPr>
        <w:t xml:space="preserve">: </w:t>
      </w:r>
    </w:p>
    <w:p w:rsidR="008017F0" w:rsidRDefault="008017F0">
      <w:pPr>
        <w:rPr>
          <w:rFonts w:ascii="Arial" w:hAnsi="Arial"/>
          <w:sz w:val="24"/>
        </w:rPr>
      </w:pPr>
      <w:r>
        <w:rPr>
          <w:rFonts w:ascii="Arial" w:hAnsi="Arial"/>
          <w:sz w:val="24"/>
        </w:rPr>
        <w:lastRenderedPageBreak/>
        <w:t>No lavar con agua. Absorber con material absorbente, aserrín, viruta de madera ó arena, y luego desactivar con sustancia alcalina,  como soda cáustica. Llamar al técnico competente.</w:t>
      </w:r>
    </w:p>
    <w:p w:rsidR="008017F0" w:rsidRDefault="008017F0">
      <w:pPr>
        <w:rPr>
          <w:rFonts w:ascii="Arial" w:hAnsi="Arial"/>
          <w:sz w:val="24"/>
        </w:rPr>
      </w:pPr>
    </w:p>
    <w:p w:rsidR="008017F0" w:rsidRDefault="008017F0">
      <w:pPr>
        <w:rPr>
          <w:rFonts w:ascii="Arial" w:hAnsi="Arial"/>
          <w:sz w:val="24"/>
        </w:rPr>
      </w:pPr>
      <w:r>
        <w:rPr>
          <w:rFonts w:ascii="Arial" w:hAnsi="Arial"/>
          <w:b/>
          <w:sz w:val="24"/>
        </w:rPr>
        <w:t>PRIMEROS AUXILIOS:</w:t>
      </w:r>
      <w:r>
        <w:rPr>
          <w:rFonts w:ascii="Arial" w:hAnsi="Arial"/>
          <w:sz w:val="24"/>
        </w:rPr>
        <w:t xml:space="preserve"> </w:t>
      </w:r>
    </w:p>
    <w:p w:rsidR="008017F0" w:rsidRDefault="008017F0">
      <w:pPr>
        <w:rPr>
          <w:rFonts w:ascii="Arial" w:hAnsi="Arial"/>
          <w:sz w:val="24"/>
        </w:rPr>
      </w:pPr>
      <w:r>
        <w:rPr>
          <w:rFonts w:ascii="Arial" w:hAnsi="Arial"/>
          <w:sz w:val="24"/>
        </w:rPr>
        <w:t>Alejar al intoxicado del  medio ambiente contaminado. Quitar ropas impregnadas de producto. Lavar la piel con agua y jabón. En caso de ingestión, provocar vómitos, mantener al paciente en reposo. No suministrar nada vía oral si la persona está inconsciente. Dar aviso al médico.</w:t>
      </w:r>
    </w:p>
    <w:p w:rsidR="008017F0" w:rsidRDefault="008017F0">
      <w:pPr>
        <w:rPr>
          <w:rFonts w:ascii="Arial" w:hAnsi="Arial"/>
          <w:sz w:val="24"/>
        </w:rPr>
      </w:pPr>
    </w:p>
    <w:p w:rsidR="00C87EEA" w:rsidRDefault="00C87EEA">
      <w:pPr>
        <w:pStyle w:val="Textoindependiente"/>
      </w:pPr>
      <w:r>
        <w:t xml:space="preserve">ADVERTENCIA PARA EL MEDICO: PRODUCTO </w:t>
      </w:r>
      <w:r w:rsidR="008017F0">
        <w:t xml:space="preserve">MODERADAMENTE PELIGROSO “CLASE II”. </w:t>
      </w:r>
    </w:p>
    <w:p w:rsidR="00CF2AEC" w:rsidRPr="007908C2" w:rsidRDefault="00CF2AEC" w:rsidP="00C87EEA">
      <w:pPr>
        <w:pStyle w:val="Textoindependiente"/>
        <w:rPr>
          <w:b w:val="0"/>
        </w:rPr>
      </w:pPr>
      <w:r w:rsidRPr="007908C2">
        <w:rPr>
          <w:b w:val="0"/>
        </w:rPr>
        <w:t>Toxicidad</w:t>
      </w:r>
      <w:r w:rsidR="00C87EEA" w:rsidRPr="007908C2">
        <w:rPr>
          <w:b w:val="0"/>
        </w:rPr>
        <w:t xml:space="preserve"> Inhalatoria</w:t>
      </w:r>
      <w:r w:rsidRPr="007908C2">
        <w:rPr>
          <w:b w:val="0"/>
        </w:rPr>
        <w:t>: Categoria</w:t>
      </w:r>
      <w:r w:rsidR="00C87EEA" w:rsidRPr="007908C2">
        <w:rPr>
          <w:b w:val="0"/>
        </w:rPr>
        <w:t xml:space="preserve"> II (NOCIVO)</w:t>
      </w:r>
      <w:r w:rsidR="008017F0" w:rsidRPr="007908C2">
        <w:rPr>
          <w:b w:val="0"/>
        </w:rPr>
        <w:t xml:space="preserve">. </w:t>
      </w:r>
      <w:r w:rsidRPr="007908C2">
        <w:rPr>
          <w:b w:val="0"/>
        </w:rPr>
        <w:t xml:space="preserve">Moderado </w:t>
      </w:r>
      <w:r w:rsidR="008017F0" w:rsidRPr="007908C2">
        <w:rPr>
          <w:b w:val="0"/>
        </w:rPr>
        <w:t>irritante ocular</w:t>
      </w:r>
      <w:r w:rsidRPr="007908C2">
        <w:rPr>
          <w:b w:val="0"/>
        </w:rPr>
        <w:t xml:space="preserve"> (Cuidado) Categoría III Causa irritación moderada a los ojos.</w:t>
      </w:r>
    </w:p>
    <w:p w:rsidR="00C87EEA" w:rsidRPr="007908C2" w:rsidRDefault="008017F0" w:rsidP="00C87EEA">
      <w:pPr>
        <w:pStyle w:val="Textoindependiente"/>
        <w:rPr>
          <w:b w:val="0"/>
        </w:rPr>
      </w:pPr>
      <w:r w:rsidRPr="007908C2">
        <w:rPr>
          <w:b w:val="0"/>
        </w:rPr>
        <w:t xml:space="preserve"> </w:t>
      </w:r>
      <w:r w:rsidR="00C87EEA" w:rsidRPr="007908C2">
        <w:rPr>
          <w:b w:val="0"/>
        </w:rPr>
        <w:t xml:space="preserve">Leve irritante dermal </w:t>
      </w:r>
      <w:r w:rsidR="00CF2AEC" w:rsidRPr="007908C2">
        <w:rPr>
          <w:b w:val="0"/>
        </w:rPr>
        <w:t>(Cuidado).  Categoría IV.</w:t>
      </w:r>
    </w:p>
    <w:p w:rsidR="00C87EEA" w:rsidRPr="007908C2" w:rsidRDefault="00C87EEA">
      <w:pPr>
        <w:pStyle w:val="Textoindependiente"/>
        <w:rPr>
          <w:b w:val="0"/>
        </w:rPr>
      </w:pPr>
      <w:r w:rsidRPr="007908C2">
        <w:rPr>
          <w:b w:val="0"/>
        </w:rPr>
        <w:t>Sensibilizante dermal “El contacto prolongado o frecuente con la piel puede causar reacciones alérgicas en algunas personas”</w:t>
      </w:r>
    </w:p>
    <w:p w:rsidR="008017F0" w:rsidRPr="007908C2" w:rsidRDefault="00C87EEA">
      <w:pPr>
        <w:rPr>
          <w:rFonts w:ascii="Arial" w:hAnsi="Arial"/>
          <w:color w:val="FF0000"/>
          <w:sz w:val="24"/>
        </w:rPr>
      </w:pPr>
      <w:r w:rsidRPr="007908C2">
        <w:rPr>
          <w:rFonts w:ascii="Arial" w:hAnsi="Arial"/>
          <w:color w:val="FF0000"/>
          <w:sz w:val="24"/>
        </w:rPr>
        <w:t>A</w:t>
      </w:r>
      <w:r w:rsidR="008017F0" w:rsidRPr="007908C2">
        <w:rPr>
          <w:rFonts w:ascii="Arial" w:hAnsi="Arial"/>
          <w:color w:val="FF0000"/>
          <w:sz w:val="24"/>
        </w:rPr>
        <w:t>plicar tratamiento sintomático y mantener en observación por 72 h.</w:t>
      </w:r>
    </w:p>
    <w:p w:rsidR="008017F0" w:rsidRDefault="008017F0">
      <w:pPr>
        <w:rPr>
          <w:rFonts w:ascii="Arial" w:hAnsi="Arial"/>
          <w:b/>
          <w:color w:val="FF0000"/>
          <w:sz w:val="24"/>
        </w:rPr>
      </w:pPr>
    </w:p>
    <w:p w:rsidR="008017F0" w:rsidRDefault="008017F0">
      <w:pPr>
        <w:rPr>
          <w:rFonts w:ascii="Arial" w:hAnsi="Arial"/>
          <w:b/>
          <w:bCs/>
          <w:sz w:val="24"/>
          <w:lang w:val="es-MX"/>
        </w:rPr>
      </w:pPr>
      <w:r>
        <w:rPr>
          <w:rFonts w:ascii="Arial" w:hAnsi="Arial"/>
          <w:b/>
          <w:bCs/>
          <w:sz w:val="24"/>
          <w:lang w:val="es-MX"/>
        </w:rPr>
        <w:t>SÍNTOMAS DE INTOXICACIÓN AGUDA:</w:t>
      </w:r>
    </w:p>
    <w:p w:rsidR="008017F0" w:rsidRDefault="008017F0">
      <w:pPr>
        <w:rPr>
          <w:rFonts w:ascii="Arial" w:hAnsi="Arial"/>
          <w:b/>
          <w:sz w:val="24"/>
        </w:rPr>
      </w:pPr>
      <w:r>
        <w:rPr>
          <w:rFonts w:ascii="Arial" w:hAnsi="Arial"/>
          <w:bCs/>
          <w:sz w:val="24"/>
        </w:rPr>
        <w:t>En caso de ingestión intencional, puede presentarse depresión general, letargo y disnea.</w:t>
      </w:r>
    </w:p>
    <w:p w:rsidR="008017F0" w:rsidRDefault="008017F0">
      <w:pPr>
        <w:rPr>
          <w:rFonts w:ascii="Arial" w:hAnsi="Arial"/>
          <w:b/>
          <w:color w:val="FF0000"/>
          <w:sz w:val="24"/>
        </w:rPr>
      </w:pPr>
    </w:p>
    <w:p w:rsidR="008017F0" w:rsidRDefault="008017F0">
      <w:pPr>
        <w:jc w:val="both"/>
        <w:rPr>
          <w:rFonts w:ascii="Arial" w:hAnsi="Arial"/>
          <w:sz w:val="24"/>
          <w:lang w:val="es-MX"/>
        </w:rPr>
      </w:pPr>
      <w:r>
        <w:rPr>
          <w:rFonts w:ascii="Arial" w:hAnsi="Arial"/>
          <w:b/>
          <w:bCs/>
          <w:sz w:val="24"/>
        </w:rPr>
        <w:t>ADVERTENCIAS TOXICOLOGICAS ESPECIALES:</w:t>
      </w:r>
      <w:r>
        <w:rPr>
          <w:rFonts w:ascii="Arial" w:hAnsi="Arial"/>
          <w:sz w:val="24"/>
        </w:rPr>
        <w:t xml:space="preserve"> No posee.</w:t>
      </w:r>
    </w:p>
    <w:p w:rsidR="008017F0" w:rsidRDefault="008017F0">
      <w:pPr>
        <w:rPr>
          <w:rFonts w:ascii="Arial" w:hAnsi="Arial"/>
          <w:b/>
          <w:color w:val="FF0000"/>
          <w:sz w:val="24"/>
          <w:lang w:val="es-MX"/>
        </w:rPr>
      </w:pPr>
    </w:p>
    <w:p w:rsidR="008017F0" w:rsidRDefault="008017F0">
      <w:pPr>
        <w:rPr>
          <w:rFonts w:ascii="Arial" w:hAnsi="Arial"/>
          <w:sz w:val="24"/>
        </w:rPr>
      </w:pPr>
      <w:r>
        <w:rPr>
          <w:rFonts w:ascii="Arial" w:hAnsi="Arial"/>
          <w:b/>
          <w:sz w:val="24"/>
        </w:rPr>
        <w:t>CONSULTAS EN CASO DE INTOXICACION:</w:t>
      </w:r>
    </w:p>
    <w:p w:rsidR="008017F0" w:rsidRDefault="008017F0">
      <w:pPr>
        <w:tabs>
          <w:tab w:val="left" w:pos="-720"/>
        </w:tabs>
        <w:suppressAutoHyphens/>
        <w:spacing w:line="264" w:lineRule="auto"/>
        <w:jc w:val="both"/>
        <w:rPr>
          <w:rFonts w:ascii="Arial" w:hAnsi="Arial"/>
          <w:spacing w:val="-3"/>
          <w:sz w:val="24"/>
        </w:rPr>
      </w:pPr>
      <w:r>
        <w:rPr>
          <w:rFonts w:ascii="Arial" w:hAnsi="Arial"/>
          <w:spacing w:val="-3"/>
          <w:sz w:val="24"/>
        </w:rPr>
        <w:t>Unidad de Toxicología del Hospital General de Niños Dr. Ricardo Gutierrez Tel.: (011) 4962-6666 y 4962-2247</w:t>
      </w:r>
    </w:p>
    <w:p w:rsidR="008017F0" w:rsidRDefault="008017F0">
      <w:pPr>
        <w:tabs>
          <w:tab w:val="left" w:pos="-720"/>
        </w:tabs>
        <w:suppressAutoHyphens/>
        <w:spacing w:line="264" w:lineRule="auto"/>
        <w:jc w:val="both"/>
        <w:rPr>
          <w:rFonts w:ascii="Arial" w:hAnsi="Arial"/>
          <w:spacing w:val="-3"/>
          <w:sz w:val="24"/>
        </w:rPr>
      </w:pPr>
      <w:r>
        <w:rPr>
          <w:rFonts w:ascii="Arial" w:hAnsi="Arial"/>
          <w:spacing w:val="-3"/>
          <w:sz w:val="24"/>
        </w:rPr>
        <w:t>Centro Nacional de Intoxicaciones Policlínico Prof. A. Posadas, Haedo.</w:t>
      </w:r>
    </w:p>
    <w:p w:rsidR="008017F0" w:rsidRDefault="008017F0">
      <w:pPr>
        <w:tabs>
          <w:tab w:val="left" w:pos="-720"/>
        </w:tabs>
        <w:suppressAutoHyphens/>
        <w:spacing w:line="264" w:lineRule="auto"/>
        <w:jc w:val="both"/>
        <w:rPr>
          <w:rFonts w:ascii="Arial" w:hAnsi="Arial"/>
          <w:spacing w:val="-3"/>
          <w:sz w:val="24"/>
        </w:rPr>
      </w:pPr>
      <w:r>
        <w:rPr>
          <w:rFonts w:ascii="Arial" w:hAnsi="Arial"/>
          <w:spacing w:val="-3"/>
          <w:sz w:val="24"/>
        </w:rPr>
        <w:t>Tel.: (011) 4654-6648 y 4658-7777.</w:t>
      </w:r>
    </w:p>
    <w:p w:rsidR="008017F0" w:rsidRDefault="008017F0">
      <w:pPr>
        <w:widowControl w:val="0"/>
        <w:rPr>
          <w:rFonts w:ascii="Arial" w:hAnsi="Arial"/>
          <w:spacing w:val="-3"/>
          <w:sz w:val="24"/>
        </w:rPr>
      </w:pPr>
      <w:r>
        <w:rPr>
          <w:rFonts w:ascii="Arial" w:hAnsi="Arial"/>
          <w:spacing w:val="-3"/>
          <w:sz w:val="24"/>
        </w:rPr>
        <w:t>Servicio de Toxicología del Hospital de Clínicas Tel: (011) 5950-8804 y 5950-8806.</w:t>
      </w:r>
    </w:p>
    <w:p w:rsidR="008017F0" w:rsidRDefault="008017F0">
      <w:pPr>
        <w:rPr>
          <w:rFonts w:ascii="Arial" w:hAnsi="Arial"/>
          <w:sz w:val="24"/>
          <w:lang w:val="es-MX"/>
        </w:rPr>
      </w:pPr>
      <w:r>
        <w:rPr>
          <w:rFonts w:ascii="Arial" w:hAnsi="Arial"/>
          <w:spacing w:val="-3"/>
          <w:sz w:val="24"/>
        </w:rPr>
        <w:t>Centro de Consultas Toxicológicas CASAFE. Llamar a TAS durante las 24 hs. Tel.: (0341) 424-2727</w:t>
      </w:r>
    </w:p>
    <w:p w:rsidR="008017F0" w:rsidRDefault="008017F0">
      <w:pPr>
        <w:rPr>
          <w:rFonts w:ascii="Arial" w:hAnsi="Arial"/>
          <w:sz w:val="24"/>
        </w:rPr>
      </w:pPr>
    </w:p>
    <w:p w:rsidR="008017F0" w:rsidRDefault="008017F0">
      <w:pPr>
        <w:pStyle w:val="Sangradetextonormal"/>
        <w:tabs>
          <w:tab w:val="left" w:pos="-720"/>
        </w:tabs>
        <w:suppressAutoHyphens/>
        <w:spacing w:line="264" w:lineRule="auto"/>
        <w:rPr>
          <w:rFonts w:ascii="Arial" w:hAnsi="Arial"/>
          <w:spacing w:val="-3"/>
        </w:rPr>
      </w:pPr>
      <w:r>
        <w:rPr>
          <w:rFonts w:ascii="Arial" w:hAnsi="Arial"/>
          <w:spacing w:val="-3"/>
        </w:rPr>
        <w:t>Banda de categoría toxicológica Amarillo Pantone C. Cruz de San Andrés. Leyenda: NOCIVO</w:t>
      </w:r>
    </w:p>
    <w:p w:rsidR="006A2693" w:rsidRDefault="006A2693" w:rsidP="006A2693">
      <w:pPr>
        <w:jc w:val="both"/>
        <w:rPr>
          <w:rFonts w:ascii="Arial" w:hAnsi="Arial"/>
          <w:sz w:val="24"/>
          <w:lang w:val="es-MX"/>
        </w:rPr>
      </w:pPr>
    </w:p>
    <w:p w:rsidR="006A2693" w:rsidRDefault="006A2693" w:rsidP="006A2693">
      <w:pPr>
        <w:jc w:val="both"/>
        <w:rPr>
          <w:rFonts w:ascii="Arial" w:hAnsi="Arial"/>
          <w:sz w:val="24"/>
          <w:lang w:val="es-MX"/>
        </w:rPr>
      </w:pPr>
      <w:r>
        <w:rPr>
          <w:rFonts w:ascii="Arial" w:hAnsi="Arial"/>
          <w:noProof/>
          <w:spacing w:val="-3"/>
        </w:rPr>
        <w:pict>
          <v:rect id="_x0000_s1027" style="position:absolute;left:0;text-align:left;margin-left:-18.05pt;margin-top:4.05pt;width:531pt;height:58.1pt;z-index:251652096" fillcolor="yellow">
            <v:textbox style="mso-next-textbox:#_x0000_s1027">
              <w:txbxContent>
                <w:p w:rsidR="006A2693" w:rsidRDefault="006A2693" w:rsidP="006A2693">
                  <w:pPr>
                    <w:rPr>
                      <w:spacing w:val="-3"/>
                      <w:sz w:val="16"/>
                    </w:rPr>
                  </w:pPr>
                </w:p>
                <w:p w:rsidR="006A2693" w:rsidRDefault="006A2693" w:rsidP="006A2693">
                  <w:r>
                    <w:rPr>
                      <w:spacing w:val="-3"/>
                      <w:sz w:val="16"/>
                    </w:rPr>
                    <w:t xml:space="preserve">  </w:t>
                  </w:r>
                  <w:r w:rsidR="00B37F45">
                    <w:rPr>
                      <w:noProof/>
                      <w:spacing w:val="-3"/>
                      <w:sz w:val="16"/>
                      <w:lang w:val="es-ES"/>
                    </w:rPr>
                    <w:drawing>
                      <wp:inline distT="0" distB="0" distL="0" distR="0">
                        <wp:extent cx="323850" cy="35242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23850" cy="352425"/>
                                </a:xfrm>
                                <a:prstGeom prst="rect">
                                  <a:avLst/>
                                </a:prstGeom>
                                <a:noFill/>
                                <a:ln w="9525">
                                  <a:noFill/>
                                  <a:miter lim="800000"/>
                                  <a:headEnd/>
                                  <a:tailEnd/>
                                </a:ln>
                              </pic:spPr>
                            </pic:pic>
                          </a:graphicData>
                        </a:graphic>
                      </wp:inline>
                    </w:drawing>
                  </w:r>
                  <w:r w:rsidR="00B37F45">
                    <w:rPr>
                      <w:noProof/>
                      <w:spacing w:val="-3"/>
                      <w:sz w:val="16"/>
                      <w:lang w:val="es-ES"/>
                    </w:rPr>
                    <w:drawing>
                      <wp:inline distT="0" distB="0" distL="0" distR="0">
                        <wp:extent cx="333375" cy="352425"/>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33375" cy="352425"/>
                                </a:xfrm>
                                <a:prstGeom prst="rect">
                                  <a:avLst/>
                                </a:prstGeom>
                                <a:noFill/>
                                <a:ln w="9525">
                                  <a:noFill/>
                                  <a:miter lim="800000"/>
                                  <a:headEnd/>
                                  <a:tailEnd/>
                                </a:ln>
                              </pic:spPr>
                            </pic:pic>
                          </a:graphicData>
                        </a:graphic>
                      </wp:inline>
                    </w:drawing>
                  </w:r>
                  <w:r w:rsidR="00B37F45">
                    <w:rPr>
                      <w:noProof/>
                      <w:spacing w:val="-3"/>
                      <w:sz w:val="16"/>
                      <w:lang w:val="es-ES"/>
                    </w:rPr>
                    <w:drawing>
                      <wp:inline distT="0" distB="0" distL="0" distR="0">
                        <wp:extent cx="371475" cy="352425"/>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371475" cy="352425"/>
                                </a:xfrm>
                                <a:prstGeom prst="rect">
                                  <a:avLst/>
                                </a:prstGeom>
                                <a:noFill/>
                                <a:ln w="9525">
                                  <a:noFill/>
                                  <a:miter lim="800000"/>
                                  <a:headEnd/>
                                  <a:tailEnd/>
                                </a:ln>
                              </pic:spPr>
                            </pic:pic>
                          </a:graphicData>
                        </a:graphic>
                      </wp:inline>
                    </w:drawing>
                  </w:r>
                  <w:r>
                    <w:object w:dxaOrig="931" w:dyaOrig="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27.75pt" o:ole="" fillcolor="window">
                        <v:imagedata r:id="rId9" o:title=""/>
                      </v:shape>
                      <o:OLEObject Type="Embed" ProgID="Word.Picture.8" ShapeID="_x0000_i1025" DrawAspect="Content" ObjectID="_1626857053" r:id="rId10"/>
                    </w:object>
                  </w:r>
                  <w:r w:rsidR="00B37F45">
                    <w:rPr>
                      <w:rFonts w:ascii="Arial" w:hAnsi="Arial"/>
                      <w:noProof/>
                      <w:spacing w:val="-3"/>
                      <w:lang w:val="es-ES"/>
                    </w:rPr>
                    <w:drawing>
                      <wp:inline distT="0" distB="0" distL="0" distR="0">
                        <wp:extent cx="352425" cy="342900"/>
                        <wp:effectExtent l="1905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352425" cy="342900"/>
                                </a:xfrm>
                                <a:prstGeom prst="rect">
                                  <a:avLst/>
                                </a:prstGeom>
                                <a:noFill/>
                                <a:ln w="9525">
                                  <a:noFill/>
                                  <a:miter lim="800000"/>
                                  <a:headEnd/>
                                  <a:tailEnd/>
                                </a:ln>
                              </pic:spPr>
                            </pic:pic>
                          </a:graphicData>
                        </a:graphic>
                      </wp:inline>
                    </w:drawing>
                  </w:r>
                  <w:r w:rsidR="00B37F45">
                    <w:rPr>
                      <w:noProof/>
                      <w:sz w:val="16"/>
                      <w:lang w:val="es-ES"/>
                    </w:rPr>
                    <w:drawing>
                      <wp:inline distT="0" distB="0" distL="0" distR="0">
                        <wp:extent cx="361950" cy="342900"/>
                        <wp:effectExtent l="1905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361950" cy="342900"/>
                                </a:xfrm>
                                <a:prstGeom prst="rect">
                                  <a:avLst/>
                                </a:prstGeom>
                                <a:noFill/>
                                <a:ln w="9525">
                                  <a:noFill/>
                                  <a:miter lim="800000"/>
                                  <a:headEnd/>
                                  <a:tailEnd/>
                                </a:ln>
                              </pic:spPr>
                            </pic:pic>
                          </a:graphicData>
                        </a:graphic>
                      </wp:inline>
                    </w:drawing>
                  </w:r>
                  <w:r w:rsidR="00B37F45">
                    <w:rPr>
                      <w:noProof/>
                      <w:spacing w:val="-3"/>
                      <w:sz w:val="16"/>
                      <w:lang w:val="es-ES"/>
                    </w:rPr>
                    <w:drawing>
                      <wp:inline distT="0" distB="0" distL="0" distR="0">
                        <wp:extent cx="361950" cy="314325"/>
                        <wp:effectExtent l="1905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361950" cy="314325"/>
                                </a:xfrm>
                                <a:prstGeom prst="rect">
                                  <a:avLst/>
                                </a:prstGeom>
                                <a:noFill/>
                                <a:ln w="9525">
                                  <a:noFill/>
                                  <a:miter lim="800000"/>
                                  <a:headEnd/>
                                  <a:tailEnd/>
                                </a:ln>
                              </pic:spPr>
                            </pic:pic>
                          </a:graphicData>
                        </a:graphic>
                      </wp:inline>
                    </w:drawing>
                  </w:r>
                  <w:r>
                    <w:rPr>
                      <w:spacing w:val="-3"/>
                      <w:sz w:val="16"/>
                    </w:rPr>
                    <w:t xml:space="preserve">   </w:t>
                  </w:r>
                  <w:r>
                    <w:rPr>
                      <w:b/>
                      <w:spacing w:val="-3"/>
                    </w:rPr>
                    <w:t xml:space="preserve">NOCIVO    </w:t>
                  </w:r>
                  <w:r w:rsidR="00B37F45">
                    <w:rPr>
                      <w:noProof/>
                      <w:sz w:val="16"/>
                      <w:lang w:val="es-ES"/>
                    </w:rPr>
                    <w:drawing>
                      <wp:inline distT="0" distB="0" distL="0" distR="0">
                        <wp:extent cx="314325" cy="314325"/>
                        <wp:effectExtent l="1905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314325" cy="314325"/>
                                </a:xfrm>
                                <a:prstGeom prst="rect">
                                  <a:avLst/>
                                </a:prstGeom>
                                <a:noFill/>
                                <a:ln w="9525">
                                  <a:noFill/>
                                  <a:miter lim="800000"/>
                                  <a:headEnd/>
                                  <a:tailEnd/>
                                </a:ln>
                              </pic:spPr>
                            </pic:pic>
                          </a:graphicData>
                        </a:graphic>
                      </wp:inline>
                    </w:drawing>
                  </w:r>
                  <w:r w:rsidR="00B37F45">
                    <w:rPr>
                      <w:noProof/>
                      <w:spacing w:val="-3"/>
                      <w:sz w:val="16"/>
                      <w:lang w:val="es-ES"/>
                    </w:rPr>
                    <w:drawing>
                      <wp:inline distT="0" distB="0" distL="0" distR="0">
                        <wp:extent cx="333375" cy="352425"/>
                        <wp:effectExtent l="1905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333375" cy="352425"/>
                                </a:xfrm>
                                <a:prstGeom prst="rect">
                                  <a:avLst/>
                                </a:prstGeom>
                                <a:noFill/>
                                <a:ln w="9525">
                                  <a:noFill/>
                                  <a:miter lim="800000"/>
                                  <a:headEnd/>
                                  <a:tailEnd/>
                                </a:ln>
                              </pic:spPr>
                            </pic:pic>
                          </a:graphicData>
                        </a:graphic>
                      </wp:inline>
                    </w:drawing>
                  </w:r>
                  <w:r w:rsidR="00B37F45">
                    <w:rPr>
                      <w:noProof/>
                      <w:spacing w:val="-3"/>
                      <w:sz w:val="16"/>
                      <w:lang w:val="es-ES"/>
                    </w:rPr>
                    <w:drawing>
                      <wp:inline distT="0" distB="0" distL="0" distR="0">
                        <wp:extent cx="371475" cy="352425"/>
                        <wp:effectExtent l="1905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371475" cy="352425"/>
                                </a:xfrm>
                                <a:prstGeom prst="rect">
                                  <a:avLst/>
                                </a:prstGeom>
                                <a:noFill/>
                                <a:ln w="9525">
                                  <a:noFill/>
                                  <a:miter lim="800000"/>
                                  <a:headEnd/>
                                  <a:tailEnd/>
                                </a:ln>
                              </pic:spPr>
                            </pic:pic>
                          </a:graphicData>
                        </a:graphic>
                      </wp:inline>
                    </w:drawing>
                  </w:r>
                  <w:r>
                    <w:object w:dxaOrig="931" w:dyaOrig="931">
                      <v:shape id="_x0000_i1026" type="#_x0000_t75" style="width:32.25pt;height:27.75pt" o:ole="" fillcolor="window">
                        <v:imagedata r:id="rId9" o:title=""/>
                      </v:shape>
                      <o:OLEObject Type="Embed" ProgID="Word.Picture.8" ShapeID="_x0000_i1026" DrawAspect="Content" ObjectID="_1626857054" r:id="rId15"/>
                    </w:object>
                  </w:r>
                  <w:r w:rsidR="00B37F45">
                    <w:rPr>
                      <w:rFonts w:ascii="Arial" w:hAnsi="Arial"/>
                      <w:noProof/>
                      <w:spacing w:val="-3"/>
                      <w:lang w:val="es-ES"/>
                    </w:rPr>
                    <w:drawing>
                      <wp:inline distT="0" distB="0" distL="0" distR="0">
                        <wp:extent cx="352425" cy="342900"/>
                        <wp:effectExtent l="1905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srcRect/>
                                <a:stretch>
                                  <a:fillRect/>
                                </a:stretch>
                              </pic:blipFill>
                              <pic:spPr bwMode="auto">
                                <a:xfrm>
                                  <a:off x="0" y="0"/>
                                  <a:ext cx="352425" cy="342900"/>
                                </a:xfrm>
                                <a:prstGeom prst="rect">
                                  <a:avLst/>
                                </a:prstGeom>
                                <a:noFill/>
                                <a:ln w="9525">
                                  <a:noFill/>
                                  <a:miter lim="800000"/>
                                  <a:headEnd/>
                                  <a:tailEnd/>
                                </a:ln>
                              </pic:spPr>
                            </pic:pic>
                          </a:graphicData>
                        </a:graphic>
                      </wp:inline>
                    </w:drawing>
                  </w:r>
                  <w:r w:rsidR="00B37F45">
                    <w:rPr>
                      <w:noProof/>
                      <w:sz w:val="16"/>
                      <w:lang w:val="es-ES"/>
                    </w:rPr>
                    <w:drawing>
                      <wp:inline distT="0" distB="0" distL="0" distR="0">
                        <wp:extent cx="361950" cy="342900"/>
                        <wp:effectExtent l="1905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361950" cy="342900"/>
                                </a:xfrm>
                                <a:prstGeom prst="rect">
                                  <a:avLst/>
                                </a:prstGeom>
                                <a:noFill/>
                                <a:ln w="9525">
                                  <a:noFill/>
                                  <a:miter lim="800000"/>
                                  <a:headEnd/>
                                  <a:tailEnd/>
                                </a:ln>
                              </pic:spPr>
                            </pic:pic>
                          </a:graphicData>
                        </a:graphic>
                      </wp:inline>
                    </w:drawing>
                  </w:r>
                  <w:r>
                    <w:rPr>
                      <w:spacing w:val="-3"/>
                      <w:sz w:val="16"/>
                    </w:rPr>
                    <w:t xml:space="preserve">  </w:t>
                  </w:r>
                  <w:r w:rsidR="00B37F45">
                    <w:rPr>
                      <w:noProof/>
                      <w:spacing w:val="-3"/>
                      <w:sz w:val="16"/>
                      <w:lang w:val="es-ES"/>
                    </w:rPr>
                    <w:drawing>
                      <wp:inline distT="0" distB="0" distL="0" distR="0">
                        <wp:extent cx="314325" cy="314325"/>
                        <wp:effectExtent l="1905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srcRect/>
                                <a:stretch>
                                  <a:fillRect/>
                                </a:stretch>
                              </pic:blipFill>
                              <pic:spPr bwMode="auto">
                                <a:xfrm>
                                  <a:off x="0" y="0"/>
                                  <a:ext cx="314325" cy="314325"/>
                                </a:xfrm>
                                <a:prstGeom prst="rect">
                                  <a:avLst/>
                                </a:prstGeom>
                                <a:noFill/>
                                <a:ln w="9525">
                                  <a:noFill/>
                                  <a:miter lim="800000"/>
                                  <a:headEnd/>
                                  <a:tailEnd/>
                                </a:ln>
                              </pic:spPr>
                            </pic:pic>
                          </a:graphicData>
                        </a:graphic>
                      </wp:inline>
                    </w:drawing>
                  </w:r>
                  <w:r w:rsidR="00B37F45">
                    <w:rPr>
                      <w:noProof/>
                      <w:spacing w:val="-3"/>
                      <w:sz w:val="16"/>
                      <w:lang w:val="es-ES"/>
                    </w:rPr>
                    <w:drawing>
                      <wp:inline distT="0" distB="0" distL="0" distR="0">
                        <wp:extent cx="342900" cy="314325"/>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srcRect/>
                                <a:stretch>
                                  <a:fillRect/>
                                </a:stretch>
                              </pic:blipFill>
                              <pic:spPr bwMode="auto">
                                <a:xfrm>
                                  <a:off x="0" y="0"/>
                                  <a:ext cx="342900" cy="314325"/>
                                </a:xfrm>
                                <a:prstGeom prst="rect">
                                  <a:avLst/>
                                </a:prstGeom>
                                <a:noFill/>
                                <a:ln w="9525">
                                  <a:noFill/>
                                  <a:miter lim="800000"/>
                                  <a:headEnd/>
                                  <a:tailEnd/>
                                </a:ln>
                              </pic:spPr>
                            </pic:pic>
                          </a:graphicData>
                        </a:graphic>
                      </wp:inline>
                    </w:drawing>
                  </w:r>
                  <w:r w:rsidR="00B37F45">
                    <w:rPr>
                      <w:noProof/>
                      <w:lang w:val="es-ES"/>
                    </w:rPr>
                    <w:drawing>
                      <wp:inline distT="0" distB="0" distL="0" distR="0">
                        <wp:extent cx="371475" cy="333375"/>
                        <wp:effectExtent l="1905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371475" cy="333375"/>
                                </a:xfrm>
                                <a:prstGeom prst="rect">
                                  <a:avLst/>
                                </a:prstGeom>
                                <a:noFill/>
                                <a:ln w="9525">
                                  <a:noFill/>
                                  <a:miter lim="800000"/>
                                  <a:headEnd/>
                                  <a:tailEnd/>
                                </a:ln>
                              </pic:spPr>
                            </pic:pic>
                          </a:graphicData>
                        </a:graphic>
                      </wp:inline>
                    </w:drawing>
                  </w:r>
                </w:p>
              </w:txbxContent>
            </v:textbox>
          </v:rect>
        </w:pict>
      </w:r>
      <w:r>
        <w:rPr>
          <w:rFonts w:ascii="Arial" w:hAnsi="Arial"/>
          <w:noProof/>
          <w:lang w:val="es-ES"/>
        </w:rPr>
        <w:pict>
          <v:line id="_x0000_s1038" style="position:absolute;left:0;text-align:left;z-index:251663360" from="206.95pt,-3.4pt" to="224.95pt,14.6pt" strokeweight="3pt"/>
        </w:pict>
      </w:r>
      <w:r>
        <w:rPr>
          <w:rFonts w:ascii="Arial" w:hAnsi="Arial"/>
          <w:noProof/>
          <w:lang w:val="es-ES"/>
        </w:rPr>
        <w:pict>
          <v:line id="_x0000_s1037" style="position:absolute;left:0;text-align:left;flip:x;z-index:251662336" from="206.95pt,-3.4pt" to="224.95pt,14.6pt" strokeweight="3pt"/>
        </w:pict>
      </w:r>
      <w:r>
        <w:rPr>
          <w:rFonts w:ascii="Arial" w:hAnsi="Arial"/>
          <w:noProof/>
          <w:lang w:val="es-ES"/>
        </w:rPr>
        <w:pict>
          <v:shapetype id="_x0000_t4" coordsize="21600,21600" o:spt="4" path="m10800,l,10800,10800,21600,21600,10800xe">
            <v:stroke joinstyle="miter"/>
            <v:path gradientshapeok="t" o:connecttype="rect" textboxrect="5400,5400,16200,16200"/>
          </v:shapetype>
          <v:shape id="_x0000_s1036" type="#_x0000_t4" style="position:absolute;left:0;text-align:left;margin-left:188.95pt;margin-top:-21.4pt;width:54pt;height:54pt;z-index:251661312"/>
        </w:pict>
      </w:r>
      <w:r>
        <w:rPr>
          <w:rFonts w:ascii="Arial" w:hAnsi="Arial"/>
          <w:noProof/>
          <w:spacing w:val="-3"/>
        </w:rPr>
        <w:pict>
          <v:line id="_x0000_s1034" style="position:absolute;left:0;text-align:left;z-index:251659264" from="242.95pt,13.05pt" to="242.95pt,49.05pt"/>
        </w:pict>
      </w:r>
      <w:r>
        <w:rPr>
          <w:rFonts w:ascii="Arial" w:hAnsi="Arial"/>
          <w:noProof/>
          <w:spacing w:val="-3"/>
        </w:rPr>
        <w:pict>
          <v:line id="_x0000_s1035" style="position:absolute;left:0;text-align:left;z-index:251660288" from="413.95pt,13.05pt" to="413.95pt,49.05pt"/>
        </w:pict>
      </w:r>
      <w:r>
        <w:rPr>
          <w:rFonts w:ascii="Arial" w:hAnsi="Arial"/>
          <w:noProof/>
          <w:spacing w:val="-3"/>
        </w:rPr>
        <w:pict>
          <v:line id="_x0000_s1032" style="position:absolute;left:0;text-align:left;z-index:251657216" from="242.95pt,13.05pt" to="413.95pt,13.05pt"/>
        </w:pict>
      </w:r>
      <w:r>
        <w:rPr>
          <w:rFonts w:ascii="Arial" w:hAnsi="Arial"/>
          <w:noProof/>
          <w:spacing w:val="-3"/>
        </w:rPr>
        <w:pict>
          <v:line id="_x0000_s1029" style="position:absolute;left:0;text-align:left;z-index:251654144" from="17.95pt,13.05pt" to="188.95pt,13.05pt"/>
        </w:pict>
      </w:r>
      <w:r>
        <w:rPr>
          <w:rFonts w:ascii="Arial" w:hAnsi="Arial"/>
          <w:noProof/>
          <w:spacing w:val="-3"/>
        </w:rPr>
        <w:pict>
          <v:line id="_x0000_s1031" style="position:absolute;left:0;text-align:left;z-index:251656192" from="188.95pt,13.05pt" to="188.95pt,49.05pt"/>
        </w:pict>
      </w:r>
      <w:r>
        <w:rPr>
          <w:rFonts w:ascii="Arial" w:hAnsi="Arial"/>
          <w:noProof/>
          <w:spacing w:val="-3"/>
        </w:rPr>
        <w:pict>
          <v:line id="_x0000_s1030" style="position:absolute;left:0;text-align:left;z-index:251655168" from="17.95pt,13.05pt" to="17.95pt,49.05pt"/>
        </w:pict>
      </w:r>
    </w:p>
    <w:p w:rsidR="006A2693" w:rsidRDefault="006A2693" w:rsidP="006A2693">
      <w:pPr>
        <w:widowControl w:val="0"/>
        <w:rPr>
          <w:rFonts w:ascii="Arial" w:hAnsi="Arial"/>
          <w:spacing w:val="-3"/>
        </w:rPr>
      </w:pPr>
    </w:p>
    <w:p w:rsidR="006A2693" w:rsidRDefault="006A2693" w:rsidP="006A2693">
      <w:pPr>
        <w:pStyle w:val="Ttulo1"/>
      </w:pPr>
    </w:p>
    <w:p w:rsidR="006A2693" w:rsidRDefault="006A2693" w:rsidP="006A2693">
      <w:pPr>
        <w:rPr>
          <w:lang w:val="es-MX"/>
        </w:rPr>
      </w:pPr>
      <w:r>
        <w:rPr>
          <w:noProof/>
          <w:lang w:val="es-ES"/>
        </w:rPr>
        <w:pict>
          <v:line id="_x0000_s1039" style="position:absolute;flip:x y;z-index:251664384" from="224.95pt,10.15pt" to="278.95pt,55.15pt">
            <v:stroke endarrow="block"/>
          </v:line>
        </w:pict>
      </w:r>
      <w:r>
        <w:rPr>
          <w:noProof/>
        </w:rPr>
        <w:pict>
          <v:line id="_x0000_s1033" style="position:absolute;z-index:251658240" from="242.95pt,9.7pt" to="413.95pt,9.7pt"/>
        </w:pict>
      </w:r>
      <w:r>
        <w:rPr>
          <w:noProof/>
        </w:rPr>
        <w:pict>
          <v:line id="_x0000_s1028" style="position:absolute;z-index:251653120" from="17.95pt,9.7pt" to="188.95pt,9.7pt"/>
        </w:pict>
      </w:r>
    </w:p>
    <w:p w:rsidR="006A2693" w:rsidRDefault="006A2693" w:rsidP="006A2693">
      <w:pPr>
        <w:rPr>
          <w:lang w:val="es-MX"/>
        </w:rPr>
      </w:pPr>
    </w:p>
    <w:p w:rsidR="006A2693" w:rsidRDefault="006A2693" w:rsidP="006A2693">
      <w:pPr>
        <w:jc w:val="both"/>
        <w:rPr>
          <w:rFonts w:ascii="Arial" w:hAnsi="Arial"/>
          <w:sz w:val="24"/>
        </w:rPr>
      </w:pPr>
    </w:p>
    <w:p w:rsidR="006A2693" w:rsidRDefault="006A2693" w:rsidP="006A2693">
      <w:pPr>
        <w:ind w:right="-567" w:hanging="284"/>
        <w:rPr>
          <w:rFonts w:ascii="Arial" w:hAnsi="Arial"/>
        </w:rPr>
      </w:pPr>
      <w:r>
        <w:rPr>
          <w:noProof/>
        </w:rPr>
        <w:pict>
          <v:shapetype id="_x0000_t202" coordsize="21600,21600" o:spt="202" path="m,l,21600r21600,l21600,xe">
            <v:stroke joinstyle="miter"/>
            <v:path gradientshapeok="t" o:connecttype="rect"/>
          </v:shapetype>
          <v:shape id="_x0000_s1026" type="#_x0000_t202" style="position:absolute;margin-left:279pt;margin-top:1.3pt;width:215.95pt;height:27pt;z-index:251651072">
            <v:textbox>
              <w:txbxContent>
                <w:p w:rsidR="006A2693" w:rsidRDefault="006A2693" w:rsidP="006A2693">
                  <w:r>
                    <w:t>Banda toxicológica de color Amarillo Pantone C</w:t>
                  </w:r>
                </w:p>
              </w:txbxContent>
            </v:textbox>
          </v:shape>
        </w:pict>
      </w:r>
    </w:p>
    <w:p w:rsidR="006A2693" w:rsidRDefault="006A2693" w:rsidP="006A2693"/>
    <w:p w:rsidR="006A2693" w:rsidRDefault="006A2693" w:rsidP="006A2693"/>
    <w:p w:rsidR="008017F0" w:rsidRDefault="008017F0" w:rsidP="006A2693">
      <w:pPr>
        <w:tabs>
          <w:tab w:val="left" w:pos="-720"/>
        </w:tabs>
        <w:suppressAutoHyphens/>
        <w:spacing w:line="264" w:lineRule="auto"/>
        <w:jc w:val="both"/>
        <w:rPr>
          <w:rFonts w:ascii="Arial" w:hAnsi="Arial"/>
          <w:sz w:val="24"/>
        </w:rPr>
      </w:pPr>
    </w:p>
    <w:sectPr w:rsidR="008017F0">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6E60"/>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isplayHorizontalDrawingGridEvery w:val="0"/>
  <w:displayVerticalDrawingGridEvery w:val="0"/>
  <w:doNotUseMarginsForDrawingGridOrigin/>
  <w:noPunctuationKerning/>
  <w:characterSpacingControl w:val="doNotCompress"/>
  <w:compat/>
  <w:rsids>
    <w:rsidRoot w:val="005D2F40"/>
    <w:rsid w:val="00045CF3"/>
    <w:rsid w:val="00100097"/>
    <w:rsid w:val="0013602D"/>
    <w:rsid w:val="00240193"/>
    <w:rsid w:val="002942F4"/>
    <w:rsid w:val="003272AE"/>
    <w:rsid w:val="003C7C46"/>
    <w:rsid w:val="005360CD"/>
    <w:rsid w:val="00550554"/>
    <w:rsid w:val="005607F7"/>
    <w:rsid w:val="005D2F40"/>
    <w:rsid w:val="00677AE2"/>
    <w:rsid w:val="006A2693"/>
    <w:rsid w:val="007908C2"/>
    <w:rsid w:val="007C15C3"/>
    <w:rsid w:val="008017F0"/>
    <w:rsid w:val="00857CDA"/>
    <w:rsid w:val="0087036E"/>
    <w:rsid w:val="00A0440A"/>
    <w:rsid w:val="00B37F45"/>
    <w:rsid w:val="00C87EEA"/>
    <w:rsid w:val="00CF2AEC"/>
    <w:rsid w:val="00D143EC"/>
    <w:rsid w:val="00D43150"/>
    <w:rsid w:val="00D63C9F"/>
    <w:rsid w:val="00DB6D49"/>
    <w:rsid w:val="00F379F3"/>
    <w:rsid w:val="00F548D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AR"/>
    </w:rPr>
  </w:style>
  <w:style w:type="paragraph" w:styleId="Ttulo1">
    <w:name w:val="heading 1"/>
    <w:basedOn w:val="Normal"/>
    <w:next w:val="Normal"/>
    <w:qFormat/>
    <w:pPr>
      <w:keepNext/>
      <w:outlineLvl w:val="0"/>
    </w:pPr>
    <w:rPr>
      <w:sz w:val="24"/>
      <w:u w:val="single"/>
      <w:lang w:val="es-ES"/>
    </w:rPr>
  </w:style>
  <w:style w:type="paragraph" w:styleId="Ttulo2">
    <w:name w:val="heading 2"/>
    <w:basedOn w:val="Normal"/>
    <w:next w:val="Normal"/>
    <w:qFormat/>
    <w:pPr>
      <w:keepNext/>
      <w:jc w:val="center"/>
      <w:outlineLvl w:val="1"/>
    </w:pPr>
    <w:rPr>
      <w:rFonts w:ascii="Arial" w:hAnsi="Arial"/>
      <w:sz w:val="24"/>
    </w:rPr>
  </w:style>
  <w:style w:type="paragraph" w:styleId="Ttulo3">
    <w:name w:val="heading 3"/>
    <w:basedOn w:val="Normal"/>
    <w:next w:val="Normal"/>
    <w:qFormat/>
    <w:pPr>
      <w:keepNext/>
      <w:jc w:val="center"/>
      <w:outlineLvl w:val="2"/>
    </w:pPr>
    <w:rPr>
      <w:rFonts w:ascii="Arial" w:hAnsi="Arial"/>
      <w:b/>
      <w:sz w:val="24"/>
      <w:u w:val="single"/>
    </w:rPr>
  </w:style>
  <w:style w:type="paragraph" w:styleId="Ttulo4">
    <w:name w:val="heading 4"/>
    <w:basedOn w:val="Normal"/>
    <w:next w:val="Normal"/>
    <w:qFormat/>
    <w:pPr>
      <w:keepNext/>
      <w:jc w:val="center"/>
      <w:outlineLvl w:val="3"/>
    </w:pPr>
    <w:rPr>
      <w:rFonts w:ascii="Arial" w:hAnsi="Arial"/>
      <w:b/>
      <w:sz w:val="24"/>
    </w:rPr>
  </w:style>
  <w:style w:type="paragraph" w:styleId="Ttulo5">
    <w:name w:val="heading 5"/>
    <w:basedOn w:val="Normal"/>
    <w:next w:val="Normal"/>
    <w:qFormat/>
    <w:pPr>
      <w:keepNext/>
      <w:widowControl w:val="0"/>
      <w:outlineLvl w:val="4"/>
    </w:pPr>
    <w:rPr>
      <w:b/>
      <w:snapToGrid w:val="0"/>
      <w:sz w:val="36"/>
      <w:lang w:val="es-ES"/>
    </w:rPr>
  </w:style>
  <w:style w:type="character" w:default="1" w:styleId="Fuentedeprrafopredeter">
    <w:name w:val="Default Paragraph Font"/>
    <w:semiHidden/>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rFonts w:ascii="Arial" w:hAnsi="Arial"/>
      <w:sz w:val="24"/>
    </w:rPr>
  </w:style>
  <w:style w:type="paragraph" w:styleId="Textoindependiente">
    <w:name w:val="Body Text"/>
    <w:basedOn w:val="Normal"/>
    <w:semiHidden/>
    <w:rPr>
      <w:rFonts w:ascii="Arial" w:hAnsi="Arial"/>
      <w:b/>
      <w:color w:val="FF0000"/>
      <w:sz w:val="24"/>
    </w:rPr>
  </w:style>
  <w:style w:type="paragraph" w:styleId="Sangradetextonormal">
    <w:name w:val="Body Text Indent"/>
    <w:basedOn w:val="Normal"/>
    <w:semiHidden/>
    <w:pPr>
      <w:jc w:val="both"/>
    </w:pPr>
    <w:rPr>
      <w:snapToGrid w:val="0"/>
      <w:sz w:val="24"/>
      <w:lang w:val="es-ES_tradnl"/>
    </w:rPr>
  </w:style>
  <w:style w:type="paragraph" w:styleId="Textoindependiente3">
    <w:name w:val="Body Text 3"/>
    <w:basedOn w:val="Normal"/>
    <w:semiHidden/>
    <w:pPr>
      <w:widowControl w:val="0"/>
      <w:tabs>
        <w:tab w:val="left" w:pos="851"/>
      </w:tabs>
    </w:pPr>
    <w:rPr>
      <w:b/>
      <w:snapToGrid w:val="0"/>
      <w:lang w:val="es-ES"/>
    </w:rPr>
  </w:style>
  <w:style w:type="paragraph" w:styleId="Textosinformato">
    <w:name w:val="Plain Text"/>
    <w:basedOn w:val="Normal"/>
    <w:semiHidden/>
    <w:rPr>
      <w:rFonts w:ascii="Courier New" w:hAnsi="Courier New"/>
      <w:lang w:val="es-ES_tradnl"/>
    </w:rPr>
  </w:style>
  <w:style w:type="paragraph" w:styleId="NormalWeb">
    <w:name w:val="Normal (Web)"/>
    <w:basedOn w:val="Normal"/>
    <w:semiHidden/>
    <w:pPr>
      <w:spacing w:before="100" w:beforeAutospacing="1" w:after="100" w:afterAutospacing="1"/>
    </w:pPr>
    <w:rPr>
      <w:sz w:val="24"/>
      <w:szCs w:val="24"/>
      <w:lang w:val="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oleObject" Target="embeddings/oleObject2.bin"/><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A0AB3-72BA-4B97-91A5-9D8351F84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1221</Words>
  <Characters>6720</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FUNGUICIDA TERAPICO PARA EL TRATAMIENTO DE SEMILLAS</vt:lpstr>
    </vt:vector>
  </TitlesOfParts>
  <Company/>
  <LinksUpToDate>false</LinksUpToDate>
  <CharactersWithSpaces>7926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FUNGUICIDA TERAPICO PARA EL TRATAMIENTO DE SEMILLAS</dc:title>
  <dc:creator>FMC ARGENTINA</dc:creator>
  <cp:lastModifiedBy>Tango</cp:lastModifiedBy>
  <cp:revision>2</cp:revision>
  <cp:lastPrinted>2019-08-09T14:56:00Z</cp:lastPrinted>
  <dcterms:created xsi:type="dcterms:W3CDTF">2019-08-09T14:58:00Z</dcterms:created>
  <dcterms:modified xsi:type="dcterms:W3CDTF">2019-08-09T14:58:00Z</dcterms:modified>
</cp:coreProperties>
</file>